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《国际金融》课程教学大纲</w:t>
      </w:r>
    </w:p>
    <w:p>
      <w:pPr>
        <w:jc w:val="center"/>
        <w:rPr>
          <w:rFonts w:ascii="宋体" w:hAnsi="宋体"/>
          <w:b/>
          <w:szCs w:val="21"/>
        </w:rPr>
      </w:pPr>
    </w:p>
    <w:p>
      <w:pPr>
        <w:rPr>
          <w:rFonts w:ascii="楷体_GB2312" w:hAnsi="宋体" w:eastAsia="楷体_GB2312"/>
          <w:b/>
          <w:sz w:val="32"/>
          <w:szCs w:val="32"/>
        </w:rPr>
      </w:pPr>
      <w:r>
        <w:rPr>
          <w:rFonts w:hint="eastAsia" w:ascii="宋体" w:hAnsi="宋体"/>
          <w:b/>
          <w:sz w:val="24"/>
        </w:rPr>
        <w:t>一、课程与任课教师基本信息</w:t>
      </w:r>
    </w:p>
    <w:tbl>
      <w:tblPr>
        <w:tblStyle w:val="9"/>
        <w:tblW w:w="9704" w:type="dxa"/>
        <w:jc w:val="center"/>
        <w:tblInd w:w="-3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6"/>
        <w:gridCol w:w="4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课程名称：</w:t>
            </w:r>
            <w:r>
              <w:rPr>
                <w:rFonts w:hint="eastAsia" w:ascii="宋体" w:hAnsi="宋体"/>
                <w:szCs w:val="21"/>
              </w:rPr>
              <w:t xml:space="preserve"> 国际金融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课程类别：必修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课程英文名称：international finance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总学时/周学时/学分：48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其中实验（实训、讨论等）学时：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先修课程：国际经济学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授课时间：周二5－7节，周三5－7节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授课地点：莞城校区图书馆511，莞城1408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授课对象：14会计（1）（2）（3）（4）班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开课院（系）：</w:t>
            </w:r>
            <w:r>
              <w:rPr>
                <w:rFonts w:hint="eastAsia" w:ascii="宋体" w:hAnsi="宋体"/>
                <w:szCs w:val="21"/>
              </w:rPr>
              <w:t xml:space="preserve"> 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任课（/助课）教师姓名/职称：</w:t>
            </w:r>
            <w:r>
              <w:rPr>
                <w:rFonts w:hint="eastAsia" w:ascii="宋体" w:hAnsi="宋体"/>
                <w:szCs w:val="21"/>
              </w:rPr>
              <w:t xml:space="preserve"> 孔小伟副教授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编写人姓名/职称：</w:t>
            </w:r>
            <w:r>
              <w:rPr>
                <w:rFonts w:hint="eastAsia" w:ascii="宋体" w:hAnsi="宋体"/>
                <w:szCs w:val="21"/>
              </w:rPr>
              <w:t xml:space="preserve"> 孔小伟副教授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使用教材：</w:t>
            </w:r>
            <w:r>
              <w:rPr>
                <w:rFonts w:hint="eastAsia" w:ascii="宋体" w:hAnsi="宋体"/>
                <w:szCs w:val="21"/>
              </w:rPr>
              <w:t>《国际金融》 陈雨露  中国人民大学出版社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教学参考资料：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《国际金融实务与理论》 李敏    北京大学出版社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《国际货币与金融》 [美</w:t>
            </w:r>
            <w:r>
              <w:rPr>
                <w:rFonts w:ascii="宋体" w:hAnsi="宋体"/>
                <w:szCs w:val="21"/>
              </w:rPr>
              <w:t>]</w:t>
            </w:r>
            <w:r>
              <w:rPr>
                <w:rFonts w:hint="eastAsia" w:ascii="宋体" w:hAnsi="宋体"/>
                <w:szCs w:val="21"/>
              </w:rPr>
              <w:t>迈克尔</w:t>
            </w:r>
            <w:r>
              <w:rPr>
                <w:rFonts w:ascii="宋体" w:hAnsi="宋体"/>
                <w:szCs w:val="21"/>
              </w:rPr>
              <w:t>·</w:t>
            </w:r>
            <w:r>
              <w:rPr>
                <w:rFonts w:hint="eastAsia" w:ascii="宋体" w:hAnsi="宋体"/>
                <w:szCs w:val="21"/>
              </w:rPr>
              <w:t>梅尔文    上海三联书店</w:t>
            </w:r>
          </w:p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《国际经济学》 </w:t>
            </w:r>
            <w:r>
              <w:rPr>
                <w:rFonts w:ascii="宋体" w:hAnsi="宋体"/>
                <w:szCs w:val="21"/>
              </w:rPr>
              <w:t>[</w:t>
            </w:r>
            <w:r>
              <w:rPr>
                <w:rFonts w:hint="eastAsia" w:ascii="宋体" w:hAnsi="宋体"/>
                <w:szCs w:val="21"/>
              </w:rPr>
              <w:t>美</w:t>
            </w:r>
            <w:r>
              <w:rPr>
                <w:rFonts w:ascii="宋体" w:hAnsi="宋体"/>
                <w:szCs w:val="21"/>
              </w:rPr>
              <w:t>]</w:t>
            </w:r>
            <w:r>
              <w:rPr>
                <w:rFonts w:hint="eastAsia" w:ascii="宋体" w:hAnsi="宋体"/>
                <w:szCs w:val="21"/>
              </w:rPr>
              <w:t>克鲁格曼、奥伯斯法尔德 中国人民大学出版社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课程期末考核方式：</w:t>
            </w:r>
            <w:r>
              <w:rPr>
                <w:rFonts w:hint="eastAsia" w:ascii="宋体" w:hAnsi="宋体"/>
                <w:szCs w:val="21"/>
              </w:rPr>
              <w:t>开卷</w:t>
            </w:r>
            <w:r>
              <w:rPr>
                <w:rFonts w:hint="eastAsia" w:ascii="宋体" w:hAnsi="宋体"/>
                <w:b/>
                <w:szCs w:val="21"/>
              </w:rPr>
              <w:t>（ ）</w:t>
            </w:r>
            <w:r>
              <w:rPr>
                <w:rFonts w:hint="eastAsia" w:ascii="宋体" w:hAnsi="宋体"/>
                <w:szCs w:val="21"/>
              </w:rPr>
              <w:t xml:space="preserve">     闭卷</w:t>
            </w:r>
            <w:r>
              <w:rPr>
                <w:rFonts w:hint="eastAsia" w:ascii="宋体" w:hAnsi="宋体"/>
                <w:b/>
                <w:szCs w:val="21"/>
              </w:rPr>
              <w:t>（</w:t>
            </w:r>
            <w:r>
              <w:rPr>
                <w:rFonts w:hint="eastAsia"/>
                <w:bCs/>
                <w:sz w:val="24"/>
              </w:rPr>
              <w:t>√</w:t>
            </w:r>
            <w:r>
              <w:rPr>
                <w:rFonts w:hint="eastAsia" w:ascii="宋体" w:hAnsi="宋体"/>
                <w:b/>
                <w:szCs w:val="21"/>
              </w:rPr>
              <w:t xml:space="preserve"> ）   </w:t>
            </w:r>
            <w:r>
              <w:rPr>
                <w:rFonts w:hint="eastAsia" w:ascii="宋体" w:hAnsi="宋体"/>
                <w:szCs w:val="21"/>
              </w:rPr>
              <w:t>课程论文</w:t>
            </w:r>
            <w:r>
              <w:rPr>
                <w:rFonts w:hint="eastAsia" w:ascii="宋体" w:hAnsi="宋体"/>
                <w:b/>
                <w:szCs w:val="21"/>
              </w:rPr>
              <w:t xml:space="preserve">（ ）    </w:t>
            </w:r>
            <w:r>
              <w:rPr>
                <w:rFonts w:hint="eastAsia" w:ascii="宋体" w:hAnsi="宋体"/>
                <w:szCs w:val="21"/>
              </w:rPr>
              <w:t>实操</w:t>
            </w:r>
            <w:r>
              <w:rPr>
                <w:rFonts w:hint="eastAsia" w:ascii="宋体" w:hAnsi="宋体"/>
                <w:b/>
                <w:szCs w:val="21"/>
              </w:rPr>
              <w:t>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56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联系电话：15992931702</w:t>
            </w:r>
          </w:p>
        </w:tc>
        <w:tc>
          <w:tcPr>
            <w:tcW w:w="4848" w:type="dxa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Email:1587703466@qq.com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答疑时间、地点与方式：利用课间及办公时间面谈或利用网络等方式答疑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4" w:type="dxa"/>
            <w:gridSpan w:val="2"/>
          </w:tcPr>
          <w:p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编写时间：2016年8月30日</w:t>
            </w:r>
          </w:p>
        </w:tc>
      </w:tr>
    </w:tbl>
    <w:p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二、课程简介</w:t>
      </w:r>
    </w:p>
    <w:p>
      <w:pPr>
        <w:pStyle w:val="13"/>
        <w:snapToGrid w:val="0"/>
        <w:spacing w:line="400" w:lineRule="exact"/>
        <w:ind w:left="0" w:leftChars="0" w:firstLine="315" w:firstLineChars="150"/>
        <w:rPr>
          <w:bCs w:val="0"/>
          <w:kern w:val="2"/>
          <w:szCs w:val="24"/>
        </w:rPr>
      </w:pPr>
      <w:r>
        <w:rPr>
          <w:rFonts w:hint="eastAsia"/>
          <w:bCs w:val="0"/>
          <w:kern w:val="2"/>
          <w:szCs w:val="24"/>
        </w:rPr>
        <w:t>本课程是国际经济与贸易、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</w:r>
    </w:p>
    <w:p>
      <w:pPr>
        <w:tabs>
          <w:tab w:val="left" w:pos="615"/>
        </w:tabs>
        <w:spacing w:line="360" w:lineRule="exact"/>
        <w:outlineLvl w:val="0"/>
        <w:rPr>
          <w:rFonts w:ascii="宋体" w:hAnsi="宋体"/>
          <w:b/>
          <w:sz w:val="24"/>
        </w:rPr>
      </w:pPr>
    </w:p>
    <w:p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三、课程教学目标（精炼概括3-5条目标，本课程教学目标须与授课对象的专业培养目标有一定的对应关系）</w:t>
      </w:r>
      <w:r>
        <w:rPr>
          <w:rFonts w:hint="eastAsia" w:ascii="宋体" w:hAnsi="宋体"/>
          <w:sz w:val="24"/>
        </w:rPr>
        <w:t xml:space="preserve">   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作为非经济金融专业的学生，学习国际金融主要目标为：</w:t>
      </w:r>
    </w:p>
    <w:p>
      <w:pPr>
        <w:pStyle w:val="13"/>
        <w:snapToGrid w:val="0"/>
        <w:spacing w:line="400" w:lineRule="exact"/>
        <w:ind w:left="0" w:leftChars="0" w:firstLine="315" w:firstLineChars="150"/>
        <w:rPr>
          <w:bCs w:val="0"/>
          <w:kern w:val="2"/>
          <w:szCs w:val="24"/>
        </w:rPr>
      </w:pPr>
      <w:r>
        <w:rPr>
          <w:rFonts w:hint="eastAsia"/>
          <w:szCs w:val="21"/>
        </w:rPr>
        <w:t>1、通过</w:t>
      </w:r>
      <w:r>
        <w:rPr>
          <w:rFonts w:hint="eastAsia"/>
          <w:bCs w:val="0"/>
          <w:kern w:val="2"/>
          <w:szCs w:val="24"/>
        </w:rPr>
        <w:t>掌握汇率的计算、汇率的变动分析、外汇风险管理技术、国际资产组合投资的方法以及国际收支平衡表的分析方法，以便与会计专业的学习结合起来，帮助其本专业的深度学习。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2、</w:t>
      </w:r>
      <w:r>
        <w:rPr>
          <w:sz w:val="21"/>
          <w:szCs w:val="21"/>
        </w:rPr>
        <w:t>学生在掌握国际金融基本知识与理论的基础上，</w:t>
      </w:r>
      <w:r>
        <w:rPr>
          <w:rFonts w:hint="eastAsia"/>
          <w:sz w:val="21"/>
          <w:szCs w:val="21"/>
        </w:rPr>
        <w:t>能够利用所学国际金融理论</w:t>
      </w:r>
      <w:r>
        <w:rPr>
          <w:sz w:val="21"/>
          <w:szCs w:val="21"/>
        </w:rPr>
        <w:t>分析国际金融一般问题</w:t>
      </w:r>
    </w:p>
    <w:p>
      <w:pPr>
        <w:pStyle w:val="5"/>
        <w:spacing w:line="31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3、在熟练掌握国际金融相关知识的基</w:t>
      </w:r>
      <w:r>
        <w:rPr>
          <w:sz w:val="21"/>
          <w:szCs w:val="21"/>
        </w:rPr>
        <w:t>础上，具备涉外金融业务的操作技能。</w:t>
      </w:r>
    </w:p>
    <w:p>
      <w:pPr>
        <w:spacing w:line="360" w:lineRule="exact"/>
        <w:rPr>
          <w:rFonts w:ascii="宋体" w:hAnsi="宋体"/>
          <w:sz w:val="24"/>
        </w:rPr>
      </w:pPr>
    </w:p>
    <w:p>
      <w:pPr>
        <w:spacing w:line="360" w:lineRule="exact"/>
        <w:rPr>
          <w:rFonts w:ascii="宋体" w:hAnsi="宋体"/>
          <w:sz w:val="24"/>
        </w:rPr>
      </w:pPr>
    </w:p>
    <w:p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四、课程进度表</w:t>
      </w:r>
    </w:p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理论教学进程表</w:t>
      </w:r>
    </w:p>
    <w:tbl>
      <w:tblPr>
        <w:tblStyle w:val="9"/>
        <w:tblW w:w="8936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656"/>
        <w:gridCol w:w="720"/>
        <w:gridCol w:w="3821"/>
        <w:gridCol w:w="1175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教学时长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教学的重点与难点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国际金融体系的历史发展、布雷顿森林体系的特点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外汇与外汇汇率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汇率决定与变动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外汇与外汇汇率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汇率变化的经济影响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 外汇市场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外汇市场的结构与交易机制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外汇衍生品市场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外汇远期、期货的交易机制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外汇衍生品市场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外汇期权的交易机制与特征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离岸金融市场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欧洲货币市场的特征及影响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国际资产组合投资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国际资产组合风险与收益的衡量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外汇风险管理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外汇风险对跨国公司经营产生的影响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期中考试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外汇风险管理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外汇风险管理的不同方法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第七章 国际直接投资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国际直接投资项目的评价方法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第七章 国际直接投资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国际直接投资环境的评估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跨国公司资产负债管理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跨国公司短期资产负债管理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跨国公司资产负债管理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跨国公司的资本成本与资本结构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课堂讲授与讨论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48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</w:p>
    <w:p>
      <w:pPr>
        <w:tabs>
          <w:tab w:val="left" w:pos="1440"/>
        </w:tabs>
        <w:jc w:val="center"/>
        <w:outlineLvl w:val="0"/>
        <w:rPr>
          <w:rFonts w:hint="eastAsia" w:ascii="宋体" w:hAnsi="宋体"/>
          <w:b/>
          <w:szCs w:val="21"/>
        </w:rPr>
      </w:pPr>
    </w:p>
    <w:p>
      <w:pPr>
        <w:tabs>
          <w:tab w:val="left" w:pos="1440"/>
        </w:tabs>
        <w:jc w:val="center"/>
        <w:outlineLvl w:val="0"/>
        <w:rPr>
          <w:rFonts w:hint="eastAsia" w:ascii="宋体" w:hAnsi="宋体"/>
          <w:b/>
          <w:szCs w:val="21"/>
        </w:rPr>
      </w:pPr>
    </w:p>
    <w:p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实践教学进程表</w:t>
      </w:r>
    </w:p>
    <w:tbl>
      <w:tblPr>
        <w:tblStyle w:val="9"/>
        <w:tblW w:w="8936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656"/>
        <w:gridCol w:w="720"/>
        <w:gridCol w:w="3960"/>
        <w:gridCol w:w="1036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教学的重点与难点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实验安排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1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1440"/>
        </w:tabs>
        <w:outlineLvl w:val="0"/>
        <w:rPr>
          <w:rFonts w:ascii="宋体" w:hAnsi="宋体"/>
          <w:b/>
          <w:sz w:val="24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五、成绩评定方法及标准</w:t>
      </w:r>
    </w:p>
    <w:tbl>
      <w:tblPr>
        <w:tblStyle w:val="9"/>
        <w:tblW w:w="739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4860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平时表现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上课率及回答问题情况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期中考试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期末考试</w:t>
            </w:r>
          </w:p>
        </w:tc>
        <w:tc>
          <w:tcPr>
            <w:tcW w:w="4860" w:type="dxa"/>
            <w:vAlign w:val="center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卷面成绩</w:t>
            </w: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20" w:type="dxa"/>
            <w:vAlign w:val="center"/>
          </w:tcPr>
          <w:p>
            <w:pPr>
              <w:snapToGrid w:val="0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4860" w:type="dxa"/>
          </w:tcPr>
          <w:p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10" w:type="dxa"/>
            <w:vAlign w:val="center"/>
          </w:tcPr>
          <w:p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六、院（系）教学指导委员会审查意见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ind w:firstLine="945" w:firstLineChars="450"/>
              <w:rPr>
                <w:rFonts w:ascii="宋体" w:hAnsi="宋体"/>
                <w:szCs w:val="21"/>
              </w:rPr>
            </w:pPr>
          </w:p>
          <w:p>
            <w:pPr>
              <w:ind w:firstLine="945" w:firstLineChars="4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我院（系）教学指导委员会已对本课程教学大纲进行了审查，同意执行。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院（系）教学指导委员会主任签名：                     日期：   年    月    日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</w:tr>
    </w:tbl>
    <w:p/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3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F94"/>
    <w:rsid w:val="00002B00"/>
    <w:rsid w:val="00002C6D"/>
    <w:rsid w:val="00015DDD"/>
    <w:rsid w:val="000161C7"/>
    <w:rsid w:val="00021BF7"/>
    <w:rsid w:val="00044AEC"/>
    <w:rsid w:val="00053AC7"/>
    <w:rsid w:val="00061EEE"/>
    <w:rsid w:val="00082ED4"/>
    <w:rsid w:val="00085876"/>
    <w:rsid w:val="000A6871"/>
    <w:rsid w:val="000B0C60"/>
    <w:rsid w:val="000F42A1"/>
    <w:rsid w:val="00116DA3"/>
    <w:rsid w:val="00126507"/>
    <w:rsid w:val="00127870"/>
    <w:rsid w:val="00132D1F"/>
    <w:rsid w:val="00143B6B"/>
    <w:rsid w:val="00157AC1"/>
    <w:rsid w:val="00160C97"/>
    <w:rsid w:val="00192899"/>
    <w:rsid w:val="001B0978"/>
    <w:rsid w:val="001B1625"/>
    <w:rsid w:val="001B25B0"/>
    <w:rsid w:val="001B3DE6"/>
    <w:rsid w:val="001D1053"/>
    <w:rsid w:val="001E4F6D"/>
    <w:rsid w:val="00204566"/>
    <w:rsid w:val="0021474B"/>
    <w:rsid w:val="00233BC3"/>
    <w:rsid w:val="00243736"/>
    <w:rsid w:val="0025679A"/>
    <w:rsid w:val="00262035"/>
    <w:rsid w:val="002759DF"/>
    <w:rsid w:val="00276D28"/>
    <w:rsid w:val="0028068B"/>
    <w:rsid w:val="002C141C"/>
    <w:rsid w:val="002C1E51"/>
    <w:rsid w:val="002D23C1"/>
    <w:rsid w:val="002E33E3"/>
    <w:rsid w:val="002E6530"/>
    <w:rsid w:val="002E7AF4"/>
    <w:rsid w:val="002E7C59"/>
    <w:rsid w:val="0031168F"/>
    <w:rsid w:val="00315199"/>
    <w:rsid w:val="0033299F"/>
    <w:rsid w:val="00341FE5"/>
    <w:rsid w:val="00360A3C"/>
    <w:rsid w:val="003675FB"/>
    <w:rsid w:val="00371603"/>
    <w:rsid w:val="00393C28"/>
    <w:rsid w:val="00397124"/>
    <w:rsid w:val="003B2EF6"/>
    <w:rsid w:val="003C627B"/>
    <w:rsid w:val="003D1A0E"/>
    <w:rsid w:val="003E30C4"/>
    <w:rsid w:val="003E5AB6"/>
    <w:rsid w:val="003E7500"/>
    <w:rsid w:val="003F28C5"/>
    <w:rsid w:val="004077DC"/>
    <w:rsid w:val="00425037"/>
    <w:rsid w:val="004261DE"/>
    <w:rsid w:val="00434DEB"/>
    <w:rsid w:val="00472EA3"/>
    <w:rsid w:val="0048036F"/>
    <w:rsid w:val="0048676C"/>
    <w:rsid w:val="004970CB"/>
    <w:rsid w:val="00497FCE"/>
    <w:rsid w:val="004C0AD2"/>
    <w:rsid w:val="004D03C9"/>
    <w:rsid w:val="004E0A19"/>
    <w:rsid w:val="004F0CB9"/>
    <w:rsid w:val="004F4046"/>
    <w:rsid w:val="00507797"/>
    <w:rsid w:val="005259C5"/>
    <w:rsid w:val="00536672"/>
    <w:rsid w:val="00560F20"/>
    <w:rsid w:val="00563596"/>
    <w:rsid w:val="00563FA2"/>
    <w:rsid w:val="00572C7D"/>
    <w:rsid w:val="005751F1"/>
    <w:rsid w:val="00576931"/>
    <w:rsid w:val="005C6634"/>
    <w:rsid w:val="00607DB0"/>
    <w:rsid w:val="00611874"/>
    <w:rsid w:val="00612489"/>
    <w:rsid w:val="006356A8"/>
    <w:rsid w:val="00655247"/>
    <w:rsid w:val="00660A36"/>
    <w:rsid w:val="006A3A67"/>
    <w:rsid w:val="006A4361"/>
    <w:rsid w:val="006C3331"/>
    <w:rsid w:val="006D47DB"/>
    <w:rsid w:val="006F0464"/>
    <w:rsid w:val="007029A2"/>
    <w:rsid w:val="00722F66"/>
    <w:rsid w:val="00757FF7"/>
    <w:rsid w:val="007646D1"/>
    <w:rsid w:val="00785039"/>
    <w:rsid w:val="007B3CC4"/>
    <w:rsid w:val="007C5628"/>
    <w:rsid w:val="007E45EE"/>
    <w:rsid w:val="007F6AE4"/>
    <w:rsid w:val="00803180"/>
    <w:rsid w:val="008223E7"/>
    <w:rsid w:val="0085110C"/>
    <w:rsid w:val="0086099D"/>
    <w:rsid w:val="008627D0"/>
    <w:rsid w:val="00875C96"/>
    <w:rsid w:val="00880CCD"/>
    <w:rsid w:val="008922AF"/>
    <w:rsid w:val="008B6754"/>
    <w:rsid w:val="008C3F8D"/>
    <w:rsid w:val="008E02F9"/>
    <w:rsid w:val="008E58BF"/>
    <w:rsid w:val="008F28BC"/>
    <w:rsid w:val="008F47B7"/>
    <w:rsid w:val="00922CD7"/>
    <w:rsid w:val="00924B1E"/>
    <w:rsid w:val="00931BD1"/>
    <w:rsid w:val="0094737C"/>
    <w:rsid w:val="00954249"/>
    <w:rsid w:val="009653C4"/>
    <w:rsid w:val="009778ED"/>
    <w:rsid w:val="009965C6"/>
    <w:rsid w:val="009C6DD1"/>
    <w:rsid w:val="009D2758"/>
    <w:rsid w:val="009F461A"/>
    <w:rsid w:val="00A1464A"/>
    <w:rsid w:val="00A46051"/>
    <w:rsid w:val="00A520E3"/>
    <w:rsid w:val="00A673A2"/>
    <w:rsid w:val="00A71653"/>
    <w:rsid w:val="00AA47C7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44C7"/>
    <w:rsid w:val="00B278E8"/>
    <w:rsid w:val="00B7351D"/>
    <w:rsid w:val="00B86681"/>
    <w:rsid w:val="00B9199A"/>
    <w:rsid w:val="00BA6D55"/>
    <w:rsid w:val="00BB1F58"/>
    <w:rsid w:val="00BB388B"/>
    <w:rsid w:val="00BC553C"/>
    <w:rsid w:val="00BE13B5"/>
    <w:rsid w:val="00BE4B34"/>
    <w:rsid w:val="00C15B16"/>
    <w:rsid w:val="00C54E6F"/>
    <w:rsid w:val="00C60C30"/>
    <w:rsid w:val="00C669D6"/>
    <w:rsid w:val="00C72CC1"/>
    <w:rsid w:val="00C7342B"/>
    <w:rsid w:val="00C77ADD"/>
    <w:rsid w:val="00C82F93"/>
    <w:rsid w:val="00C912D6"/>
    <w:rsid w:val="00CE0E07"/>
    <w:rsid w:val="00CE6F2C"/>
    <w:rsid w:val="00CF77C8"/>
    <w:rsid w:val="00D066F4"/>
    <w:rsid w:val="00D317E6"/>
    <w:rsid w:val="00D4411A"/>
    <w:rsid w:val="00D504AB"/>
    <w:rsid w:val="00D50BBD"/>
    <w:rsid w:val="00D711CD"/>
    <w:rsid w:val="00DB789A"/>
    <w:rsid w:val="00DC052E"/>
    <w:rsid w:val="00DC47BE"/>
    <w:rsid w:val="00DD6590"/>
    <w:rsid w:val="00DF5CB3"/>
    <w:rsid w:val="00E0681F"/>
    <w:rsid w:val="00E20D32"/>
    <w:rsid w:val="00E72669"/>
    <w:rsid w:val="00E96A97"/>
    <w:rsid w:val="00ED422B"/>
    <w:rsid w:val="00EE0321"/>
    <w:rsid w:val="00EF5D6A"/>
    <w:rsid w:val="00F10BBA"/>
    <w:rsid w:val="00F16DFF"/>
    <w:rsid w:val="00F36AA0"/>
    <w:rsid w:val="00F425FA"/>
    <w:rsid w:val="00F472AC"/>
    <w:rsid w:val="00F52134"/>
    <w:rsid w:val="00F67C91"/>
    <w:rsid w:val="00F74252"/>
    <w:rsid w:val="00F90871"/>
    <w:rsid w:val="00FA396E"/>
    <w:rsid w:val="00FB12B0"/>
    <w:rsid w:val="00FB5DB1"/>
    <w:rsid w:val="00FC5124"/>
    <w:rsid w:val="00FF12B8"/>
    <w:rsid w:val="47771796"/>
    <w:rsid w:val="7C17345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11"/>
    <w:uiPriority w:val="0"/>
    <w:rPr>
      <w:rFonts w:ascii="宋体" w:hAnsi="Courier New" w:eastAsia="宋体" w:cs="Times New Roman"/>
      <w:kern w:val="2"/>
      <w:sz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80" w:after="180"/>
      <w:ind w:firstLine="480"/>
      <w:jc w:val="left"/>
    </w:pPr>
    <w:rPr>
      <w:rFonts w:ascii="Verdana" w:hAnsi="Verdana" w:cs="宋体"/>
      <w:kern w:val="0"/>
      <w:sz w:val="24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纯文本 Char"/>
    <w:basedOn w:val="6"/>
    <w:link w:val="2"/>
    <w:uiPriority w:val="0"/>
    <w:rPr>
      <w:rFonts w:ascii="宋体" w:hAnsi="Courier New"/>
      <w:kern w:val="2"/>
      <w:sz w:val="24"/>
      <w:lang w:val="en-US" w:eastAsia="zh-CN" w:bidi="ar-SA"/>
    </w:rPr>
  </w:style>
  <w:style w:type="paragraph" w:customStyle="1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大纲的正文"/>
    <w:basedOn w:val="1"/>
    <w:qFormat/>
    <w:uiPriority w:val="0"/>
    <w:pPr>
      <w:adjustRightInd w:val="0"/>
      <w:spacing w:line="300" w:lineRule="auto"/>
      <w:ind w:left="-285" w:leftChars="-285" w:firstLine="200" w:firstLineChars="200"/>
      <w:jc w:val="left"/>
      <w:textAlignment w:val="baseline"/>
    </w:pPr>
    <w:rPr>
      <w:bCs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1458</Words>
  <Characters>501</Characters>
  <Lines>4</Lines>
  <Paragraphs>3</Paragraphs>
  <TotalTime>0</TotalTime>
  <ScaleCrop>false</ScaleCrop>
  <LinksUpToDate>false</LinksUpToDate>
  <CharactersWithSpaces>1956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2016-08-30T13:35:00Z</dcterms:created>
  <dc:creator>微软用户</dc:creator>
  <cp:lastModifiedBy>刘璇</cp:lastModifiedBy>
  <dcterms:modified xsi:type="dcterms:W3CDTF">2016-08-31T02:47:56Z</dcterms:modified>
  <dc:title>《社会学概论》课程教学大纲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