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400" w:lineRule="exact"/>
        <w:jc w:val="center"/>
        <w:rPr>
          <w:rFonts w:ascii="黑体" w:hAnsi="宋体" w:eastAsia="黑体"/>
          <w:b/>
          <w:sz w:val="32"/>
          <w:szCs w:val="32"/>
        </w:rPr>
      </w:pPr>
      <w:r>
        <w:rPr>
          <w:rFonts w:hint="eastAsia" w:ascii="黑体" w:hAnsi="宋体" w:eastAsia="黑体"/>
          <w:b/>
          <w:sz w:val="32"/>
          <w:szCs w:val="32"/>
        </w:rPr>
        <w:t>《经济学原理》课程教学大纲</w:t>
      </w:r>
    </w:p>
    <w:p>
      <w:pPr>
        <w:spacing w:line="400" w:lineRule="exact"/>
        <w:jc w:val="center"/>
        <w:rPr>
          <w:rFonts w:ascii="黑体" w:hAnsi="宋体" w:eastAsia="黑体"/>
          <w:b/>
          <w:sz w:val="32"/>
          <w:szCs w:val="32"/>
        </w:rPr>
      </w:pPr>
    </w:p>
    <w:p>
      <w:pPr>
        <w:tabs>
          <w:tab w:val="left" w:pos="1440"/>
        </w:tabs>
        <w:spacing w:line="400" w:lineRule="exact"/>
        <w:outlineLvl w:val="0"/>
        <w:rPr>
          <w:rFonts w:eastAsia="黑体"/>
          <w:b/>
          <w:sz w:val="24"/>
        </w:rPr>
      </w:pPr>
      <w:bookmarkStart w:id="0" w:name="_Toc297541876"/>
      <w:r>
        <w:rPr>
          <w:rFonts w:hint="eastAsia" w:eastAsia="黑体"/>
          <w:b/>
          <w:sz w:val="24"/>
        </w:rPr>
        <w:t>一、课程与任课教师基本信息</w:t>
      </w:r>
      <w:bookmarkEnd w:id="0"/>
    </w:p>
    <w:tbl>
      <w:tblPr>
        <w:tblStyle w:val="8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2"/>
        <w:gridCol w:w="4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42" w:type="dxa"/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 w:val="21"/>
                <w:szCs w:val="21"/>
              </w:rPr>
              <w:t>课程名称：</w:t>
            </w:r>
            <w:r>
              <w:rPr>
                <w:rFonts w:hint="eastAsia" w:asciiTheme="minorEastAsia" w:hAnsiTheme="minorEastAsia" w:eastAsiaTheme="minorEastAsia"/>
                <w:kern w:val="0"/>
                <w:sz w:val="21"/>
                <w:szCs w:val="21"/>
              </w:rPr>
              <w:t>经济学原理</w:t>
            </w:r>
          </w:p>
        </w:tc>
        <w:tc>
          <w:tcPr>
            <w:tcW w:w="4280" w:type="dxa"/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 w:val="21"/>
                <w:szCs w:val="21"/>
              </w:rPr>
              <w:t>课程类别：</w:t>
            </w:r>
            <w:r>
              <w:rPr>
                <w:rFonts w:hint="eastAsia" w:asciiTheme="minorEastAsia" w:hAnsiTheme="minorEastAsia" w:eastAsiaTheme="minorEastAsia"/>
                <w:kern w:val="0"/>
                <w:sz w:val="21"/>
                <w:szCs w:val="21"/>
              </w:rPr>
              <w:t>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242" w:type="dxa"/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 w:val="21"/>
                <w:szCs w:val="21"/>
              </w:rPr>
              <w:t>总学时/周学时/学分：</w:t>
            </w:r>
            <w:r>
              <w:rPr>
                <w:rFonts w:hint="eastAsia" w:asciiTheme="minorEastAsia" w:hAnsiTheme="minorEastAsia" w:eastAsiaTheme="minorEastAsia"/>
                <w:kern w:val="0"/>
                <w:sz w:val="21"/>
                <w:szCs w:val="21"/>
              </w:rPr>
              <w:t>32/2/2</w:t>
            </w:r>
          </w:p>
        </w:tc>
        <w:tc>
          <w:tcPr>
            <w:tcW w:w="4280" w:type="dxa"/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 w:val="21"/>
                <w:szCs w:val="21"/>
              </w:rPr>
              <w:t>其中实验（实训、讨论等）学时：</w:t>
            </w:r>
            <w:r>
              <w:rPr>
                <w:rFonts w:hint="eastAsia" w:asciiTheme="minorEastAsia" w:hAnsiTheme="minorEastAsia" w:eastAsiaTheme="minorEastAsia"/>
                <w:kern w:val="0"/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4242" w:type="dxa"/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 w:val="21"/>
                <w:szCs w:val="21"/>
              </w:rPr>
              <w:t>授课时间：</w:t>
            </w:r>
            <w:r>
              <w:rPr>
                <w:rFonts w:hint="eastAsia" w:asciiTheme="minorEastAsia" w:hAnsiTheme="minorEastAsia" w:eastAsiaTheme="minorEastAsia"/>
                <w:kern w:val="0"/>
                <w:sz w:val="21"/>
                <w:szCs w:val="21"/>
              </w:rPr>
              <w:t>2015-2016学年第2学期</w:t>
            </w:r>
          </w:p>
        </w:tc>
        <w:tc>
          <w:tcPr>
            <w:tcW w:w="4280" w:type="dxa"/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 w:val="21"/>
                <w:szCs w:val="21"/>
              </w:rPr>
              <w:t>授课地点：</w:t>
            </w:r>
            <w:r>
              <w:rPr>
                <w:rFonts w:hint="eastAsia" w:asciiTheme="minorEastAsia" w:hAnsiTheme="minorEastAsia" w:eastAsiaTheme="minorEastAsia"/>
                <w:kern w:val="0"/>
                <w:sz w:val="21"/>
                <w:szCs w:val="21"/>
              </w:rPr>
              <w:t>6C-201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4242" w:type="dxa"/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 w:val="21"/>
                <w:szCs w:val="21"/>
              </w:rPr>
              <w:t>开课单位：</w:t>
            </w:r>
            <w:r>
              <w:rPr>
                <w:rFonts w:hint="eastAsia" w:asciiTheme="minorEastAsia" w:hAnsiTheme="minorEastAsia" w:eastAsiaTheme="minorEastAsia"/>
                <w:kern w:val="0"/>
                <w:sz w:val="21"/>
                <w:szCs w:val="21"/>
              </w:rPr>
              <w:t>经济贸易系</w:t>
            </w:r>
          </w:p>
        </w:tc>
        <w:tc>
          <w:tcPr>
            <w:tcW w:w="4280" w:type="dxa"/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 w:val="21"/>
                <w:szCs w:val="21"/>
              </w:rPr>
              <w:t>适用专业班级：2014广播电视1、2班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42" w:type="dxa"/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 w:val="21"/>
                <w:szCs w:val="21"/>
              </w:rPr>
              <w:t>任课教师姓名：</w:t>
            </w:r>
            <w:r>
              <w:rPr>
                <w:rFonts w:hint="eastAsia" w:asciiTheme="minorEastAsia" w:hAnsiTheme="minorEastAsia" w:eastAsiaTheme="minorEastAsia"/>
                <w:b/>
                <w:kern w:val="0"/>
                <w:sz w:val="21"/>
                <w:szCs w:val="21"/>
                <w:lang w:eastAsia="zh-CN"/>
              </w:rPr>
              <w:t>刘继云</w:t>
            </w:r>
          </w:p>
        </w:tc>
        <w:tc>
          <w:tcPr>
            <w:tcW w:w="4280" w:type="dxa"/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 w:val="21"/>
                <w:szCs w:val="21"/>
              </w:rPr>
              <w:t>职称：</w:t>
            </w:r>
            <w:bookmarkStart w:id="3" w:name="_GoBack"/>
            <w:bookmarkEnd w:id="3"/>
            <w:r>
              <w:rPr>
                <w:rFonts w:hint="eastAsia" w:asciiTheme="minorEastAsia" w:hAnsiTheme="minorEastAsia" w:eastAsiaTheme="minorEastAsia"/>
                <w:kern w:val="0"/>
                <w:sz w:val="21"/>
                <w:szCs w:val="21"/>
              </w:rPr>
              <w:t>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4242" w:type="dxa"/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 w:val="21"/>
                <w:szCs w:val="21"/>
              </w:rPr>
              <w:t>联系电话：</w:t>
            </w:r>
          </w:p>
        </w:tc>
        <w:tc>
          <w:tcPr>
            <w:tcW w:w="4280" w:type="dxa"/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 w:val="21"/>
                <w:szCs w:val="21"/>
              </w:rPr>
              <w:t>Email:</w:t>
            </w:r>
            <w:r>
              <w:rPr>
                <w:rFonts w:hint="eastAsia" w:asciiTheme="minorEastAsia" w:hAnsiTheme="minorEastAsia" w:eastAsiaTheme="minorEastAsia"/>
                <w:kern w:val="0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2"/>
            <w:vAlign w:val="center"/>
          </w:tcPr>
          <w:p>
            <w:pPr>
              <w:tabs>
                <w:tab w:val="left" w:pos="1440"/>
              </w:tabs>
              <w:spacing w:line="360" w:lineRule="atLeast"/>
              <w:outlineLvl w:val="0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 w:val="21"/>
                <w:szCs w:val="21"/>
              </w:rPr>
              <w:t>答疑时间、地点与方式：</w:t>
            </w:r>
            <w:r>
              <w:rPr>
                <w:rFonts w:hint="eastAsia" w:asciiTheme="minorEastAsia" w:hAnsiTheme="minorEastAsia" w:eastAsiaTheme="minorEastAsia"/>
                <w:kern w:val="0"/>
                <w:sz w:val="21"/>
                <w:szCs w:val="21"/>
              </w:rPr>
              <w:t>6C-201。课前10分钟、课间休息答疑；通过电子邮件、电话答疑；特约答疑；期中、期末统一答疑。</w:t>
            </w:r>
          </w:p>
        </w:tc>
      </w:tr>
    </w:tbl>
    <w:p>
      <w:pPr>
        <w:tabs>
          <w:tab w:val="left" w:pos="1440"/>
        </w:tabs>
        <w:spacing w:line="400" w:lineRule="exact"/>
        <w:ind w:left="1219" w:hanging="1219"/>
        <w:outlineLvl w:val="0"/>
        <w:rPr>
          <w:rFonts w:eastAsia="黑体"/>
          <w:b/>
          <w:sz w:val="24"/>
        </w:rPr>
      </w:pPr>
      <w:r>
        <w:rPr>
          <w:rFonts w:hint="eastAsia" w:eastAsia="黑体"/>
          <w:b/>
          <w:sz w:val="24"/>
        </w:rPr>
        <w:t>二、</w:t>
      </w:r>
      <w:bookmarkStart w:id="1" w:name="_Toc297541889"/>
      <w:r>
        <w:rPr>
          <w:rFonts w:hint="eastAsia" w:eastAsia="黑体"/>
          <w:b/>
          <w:sz w:val="24"/>
        </w:rPr>
        <w:t>课程简介</w:t>
      </w:r>
      <w:bookmarkEnd w:id="1"/>
    </w:p>
    <w:p>
      <w:pPr>
        <w:spacing w:line="400" w:lineRule="exact"/>
        <w:ind w:firstLine="480" w:firstLineChars="200"/>
        <w:rPr>
          <w:rFonts w:cs="Tahoma"/>
          <w:sz w:val="24"/>
        </w:rPr>
      </w:pPr>
      <w:r>
        <w:rPr>
          <w:rFonts w:hint="eastAsia" w:ascii="宋体" w:hAnsi="宋体"/>
          <w:sz w:val="24"/>
        </w:rPr>
        <w:t>《经济学原理》是我校非经济类专业的必修课，</w:t>
      </w:r>
      <w:r>
        <w:rPr>
          <w:rFonts w:hint="eastAsia" w:cs="Tahoma"/>
          <w:sz w:val="24"/>
        </w:rPr>
        <w:t>通过该门课程的学习，使学生掌握经济学的基本原理和分析方法，了解并能清楚地解释价格形成的机理，决定价格的主要因素、解释价格机制作用的原理、了解有关厂商行为的基本理论；国家的财政政策、货币政策等，寻求经济的长期稳定增长；培养学生对现实经济行为与经济现象的观察与分析能力；能够知晓国家各种政策出台的经济背景，训练学生的经济学意识与思维方式。</w:t>
      </w:r>
    </w:p>
    <w:p>
      <w:pPr>
        <w:spacing w:line="400" w:lineRule="exact"/>
        <w:ind w:firstLine="480" w:firstLineChars="200"/>
        <w:rPr>
          <w:rFonts w:cs="Tahoma"/>
          <w:sz w:val="24"/>
        </w:rPr>
      </w:pPr>
      <w:r>
        <w:rPr>
          <w:rFonts w:hint="eastAsia" w:cs="Tahoma"/>
          <w:sz w:val="24"/>
        </w:rPr>
        <w:t>《经济学原理》的前半部分是</w:t>
      </w:r>
      <w:r>
        <w:rPr>
          <w:rFonts w:cs="Tahoma"/>
          <w:sz w:val="24"/>
        </w:rPr>
        <w:t>“</w:t>
      </w:r>
      <w:r>
        <w:rPr>
          <w:rFonts w:hint="eastAsia" w:cs="Tahoma"/>
          <w:sz w:val="24"/>
        </w:rPr>
        <w:t>微观经济学</w:t>
      </w:r>
      <w:r>
        <w:rPr>
          <w:rFonts w:cs="Tahoma"/>
          <w:sz w:val="24"/>
        </w:rPr>
        <w:t>”</w:t>
      </w:r>
      <w:r>
        <w:rPr>
          <w:rFonts w:hint="eastAsia" w:cs="Tahoma"/>
          <w:sz w:val="24"/>
        </w:rPr>
        <w:t>，后半部分是</w:t>
      </w:r>
      <w:r>
        <w:rPr>
          <w:rFonts w:cs="Tahoma"/>
          <w:sz w:val="24"/>
        </w:rPr>
        <w:t>“</w:t>
      </w:r>
      <w:r>
        <w:rPr>
          <w:rFonts w:hint="eastAsia" w:cs="Tahoma"/>
          <w:sz w:val="24"/>
        </w:rPr>
        <w:t>宏观经济学</w:t>
      </w:r>
      <w:r>
        <w:rPr>
          <w:rFonts w:cs="Tahoma"/>
          <w:sz w:val="24"/>
        </w:rPr>
        <w:t>”</w:t>
      </w:r>
      <w:r>
        <w:rPr>
          <w:rFonts w:hint="eastAsia" w:cs="Tahoma"/>
          <w:sz w:val="24"/>
        </w:rPr>
        <w:t>，但在前后两部分所适用的经济逻辑是一以贯之、一脉相承的。需要提醒各位同学的是，一旦掌握了这种分析工具，观察和理解世界的角度就会发生永久的改变。</w:t>
      </w:r>
    </w:p>
    <w:p>
      <w:pPr>
        <w:spacing w:line="400" w:lineRule="exact"/>
        <w:outlineLvl w:val="0"/>
        <w:rPr>
          <w:rFonts w:eastAsia="黑体"/>
          <w:b/>
          <w:sz w:val="24"/>
        </w:rPr>
      </w:pPr>
      <w:r>
        <w:rPr>
          <w:rFonts w:hint="eastAsia" w:eastAsia="黑体"/>
          <w:b/>
          <w:sz w:val="24"/>
        </w:rPr>
        <w:t>三、课程目标</w:t>
      </w:r>
    </w:p>
    <w:p>
      <w:pPr>
        <w:spacing w:line="400" w:lineRule="exact"/>
        <w:ind w:firstLine="480" w:firstLineChars="200"/>
        <w:rPr>
          <w:rFonts w:cs="Tahoma"/>
          <w:sz w:val="24"/>
        </w:rPr>
      </w:pPr>
      <w:r>
        <w:rPr>
          <w:rFonts w:cs="Tahoma"/>
          <w:sz w:val="24"/>
        </w:rPr>
        <w:t>1</w:t>
      </w:r>
      <w:r>
        <w:rPr>
          <w:rFonts w:hint="eastAsia" w:cs="Tahoma"/>
          <w:sz w:val="24"/>
        </w:rPr>
        <w:t>、知识与技能目标：</w:t>
      </w:r>
    </w:p>
    <w:p>
      <w:pPr>
        <w:spacing w:line="400" w:lineRule="exact"/>
        <w:ind w:firstLine="480" w:firstLineChars="200"/>
        <w:rPr>
          <w:rFonts w:cs="Tahoma"/>
          <w:sz w:val="24"/>
        </w:rPr>
      </w:pPr>
      <w:r>
        <w:rPr>
          <w:rFonts w:hint="eastAsia" w:cs="Tahoma"/>
          <w:sz w:val="24"/>
        </w:rPr>
        <w:t>通过学习这一课程，使同学们理解和掌握经济学的基本概念，了解这一学科的基本构架和分析逻辑，并能够运用经济学原理观察、分析和解释现实生活中商品价格的形成过程、国家对价格的干预、现实经济中的市场失灵、国家出台的财政政策、货币政策以及经济长期稳定增长等经济问题。</w:t>
      </w:r>
    </w:p>
    <w:p>
      <w:pPr>
        <w:pStyle w:val="2"/>
        <w:spacing w:line="400" w:lineRule="exact"/>
        <w:ind w:firstLine="353" w:firstLineChars="147"/>
        <w:rPr>
          <w:szCs w:val="24"/>
        </w:rPr>
      </w:pPr>
      <w:r>
        <w:rPr>
          <w:rFonts w:ascii="Times New Roman" w:hAnsi="Times New Roman" w:cs="Tahoma"/>
          <w:szCs w:val="24"/>
        </w:rPr>
        <w:t>2</w:t>
      </w:r>
      <w:r>
        <w:rPr>
          <w:rFonts w:hint="eastAsia" w:ascii="Times New Roman" w:hAnsi="Times New Roman" w:cs="Tahoma"/>
          <w:szCs w:val="24"/>
        </w:rPr>
        <w:t>、过程与方法目标：</w:t>
      </w:r>
    </w:p>
    <w:p>
      <w:pPr>
        <w:pStyle w:val="2"/>
        <w:spacing w:line="400" w:lineRule="exact"/>
        <w:ind w:firstLine="593" w:firstLineChars="247"/>
        <w:rPr>
          <w:rFonts w:ascii="Times New Roman" w:hAnsi="Times New Roman" w:cs="Tahoma"/>
          <w:szCs w:val="24"/>
        </w:rPr>
      </w:pPr>
      <w:r>
        <w:rPr>
          <w:rFonts w:hint="eastAsia" w:ascii="Times New Roman" w:hAnsi="Times New Roman" w:cs="Tahoma"/>
          <w:szCs w:val="24"/>
        </w:rPr>
        <w:t>经济学是一门研究人的行为规律的学科。普适的经济学原理，不仅被用来分析包罗万有的社会现象，而且还深刻地影响了历史学、社会学、政治学和法学等相关学科的研究方法。本课程向从未接触经济学的本科学生传授这种分析技能。</w:t>
      </w:r>
      <w:r>
        <w:rPr>
          <w:rFonts w:ascii="Times New Roman" w:hAnsi="Times New Roman" w:cs="Tahoma"/>
          <w:szCs w:val="24"/>
        </w:rPr>
        <w:t xml:space="preserve"> </w:t>
      </w:r>
    </w:p>
    <w:p>
      <w:pPr>
        <w:pStyle w:val="2"/>
        <w:spacing w:line="400" w:lineRule="exact"/>
        <w:ind w:firstLine="593" w:firstLineChars="247"/>
        <w:rPr>
          <w:rFonts w:ascii="Times New Roman" w:hAnsi="Times New Roman" w:cs="Tahoma"/>
          <w:szCs w:val="24"/>
        </w:rPr>
      </w:pPr>
      <w:r>
        <w:rPr>
          <w:rFonts w:hint="eastAsia" w:ascii="Times New Roman" w:hAnsi="Times New Roman" w:cs="Tahoma"/>
          <w:szCs w:val="24"/>
        </w:rPr>
        <w:t>在《微观经济学》部分我们将运用个量分析方法，从人类面临的最基本的资源的稀缺性及其最基本的竞争开始，接着便对</w:t>
      </w:r>
      <w:r>
        <w:rPr>
          <w:rFonts w:ascii="Times New Roman" w:hAnsi="Times New Roman" w:cs="Tahoma"/>
          <w:szCs w:val="24"/>
        </w:rPr>
        <w:t>“</w:t>
      </w:r>
      <w:r>
        <w:rPr>
          <w:rFonts w:hint="eastAsia" w:ascii="Times New Roman" w:hAnsi="Times New Roman" w:cs="Tahoma"/>
          <w:szCs w:val="24"/>
        </w:rPr>
        <w:t>需求规律</w:t>
      </w:r>
      <w:r>
        <w:rPr>
          <w:rFonts w:ascii="Times New Roman" w:hAnsi="Times New Roman" w:cs="Tahoma"/>
          <w:szCs w:val="24"/>
        </w:rPr>
        <w:t>”</w:t>
      </w:r>
      <w:r>
        <w:rPr>
          <w:rFonts w:hint="eastAsia" w:ascii="Times New Roman" w:hAnsi="Times New Roman" w:cs="Tahoma"/>
          <w:szCs w:val="24"/>
        </w:rPr>
        <w:t>和“供给规律”及其应用作充分的介绍，在了解了弹性理论之后，我们将把视角转为研究消费者行为和生产者行为，在此基础上，走进市场结构，剖析其内部的组织构成原理。</w:t>
      </w:r>
    </w:p>
    <w:p>
      <w:pPr>
        <w:pStyle w:val="2"/>
        <w:spacing w:line="400" w:lineRule="exact"/>
        <w:ind w:firstLine="593" w:firstLineChars="247"/>
        <w:rPr>
          <w:rFonts w:ascii="Times New Roman" w:hAnsi="Times New Roman" w:cs="Tahoma"/>
          <w:szCs w:val="24"/>
        </w:rPr>
      </w:pPr>
      <w:r>
        <w:rPr>
          <w:rFonts w:hint="eastAsia" w:ascii="Times New Roman" w:hAnsi="Times New Roman" w:cs="Tahoma"/>
          <w:szCs w:val="24"/>
        </w:rPr>
        <w:t>在《宏观经济学》部分，我们将运用总量分析方法，把对个人行为规律的分析，拓展到宏观经济领域，包括国民经济核算、失业与通货膨胀、财政政策、货币政策以及经济增长。在这些讨论中，我们将强调政府对经济的干预对经济运行具有重要的作用等。</w:t>
      </w:r>
      <w:r>
        <w:rPr>
          <w:rFonts w:ascii="Times New Roman" w:hAnsi="Times New Roman" w:cs="Tahoma"/>
          <w:szCs w:val="24"/>
        </w:rPr>
        <w:t xml:space="preserve"> </w:t>
      </w:r>
    </w:p>
    <w:p>
      <w:pPr>
        <w:spacing w:line="400" w:lineRule="exact"/>
        <w:ind w:firstLine="360" w:firstLineChars="150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、情感、态度与价值观发展目标：</w:t>
      </w:r>
    </w:p>
    <w:p>
      <w:pPr>
        <w:spacing w:line="400" w:lineRule="exact"/>
        <w:ind w:firstLine="480" w:firstLineChars="200"/>
        <w:rPr>
          <w:rFonts w:cs="Tahoma"/>
          <w:sz w:val="24"/>
        </w:rPr>
      </w:pPr>
      <w:r>
        <w:rPr>
          <w:rFonts w:hint="eastAsia" w:cs="Tahoma"/>
          <w:sz w:val="24"/>
        </w:rPr>
        <w:t>学生在具体内容上认识西方经济学可取性的同时，要充分认识到西方经济学是在西方资本主义的经济基础上建立、发展而来的，在运用到中国实践中，一定要考虑中国经济的特点与国情，尤其注意各种原理使用的前提条件，不能滥用经济学，强调培养学生进行经济实证分析的能力和解决实际经济问题的能力。</w:t>
      </w:r>
    </w:p>
    <w:p>
      <w:pPr>
        <w:spacing w:line="400" w:lineRule="exact"/>
        <w:outlineLvl w:val="0"/>
        <w:rPr>
          <w:rFonts w:ascii="黑体" w:hAnsi="宋体" w:eastAsia="黑体"/>
          <w:b/>
          <w:sz w:val="24"/>
        </w:rPr>
      </w:pPr>
      <w:r>
        <w:rPr>
          <w:rFonts w:hint="eastAsia" w:ascii="黑体" w:hAnsi="宋体" w:eastAsia="黑体"/>
          <w:b/>
          <w:sz w:val="24"/>
        </w:rPr>
        <w:t>四、与前后课程的联系</w:t>
      </w:r>
    </w:p>
    <w:p>
      <w:pPr>
        <w:spacing w:line="400" w:lineRule="exact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本课程是为非经济类专业设置的公共基础课程，它需要有一定的数学基础，通常以高等数学为先导课程，在后续教学中可以开设工程经济学、应用统计学以及管理学等课程。</w:t>
      </w:r>
    </w:p>
    <w:p>
      <w:pPr>
        <w:snapToGrid w:val="0"/>
        <w:spacing w:line="400" w:lineRule="exact"/>
        <w:outlineLvl w:val="0"/>
        <w:rPr>
          <w:rFonts w:ascii="黑体" w:hAnsi="宋体" w:eastAsia="黑体"/>
          <w:b/>
          <w:spacing w:val="-3"/>
          <w:sz w:val="24"/>
          <w:lang w:val="en-GB"/>
        </w:rPr>
      </w:pPr>
      <w:r>
        <w:rPr>
          <w:rFonts w:hint="eastAsia" w:ascii="黑体" w:hAnsi="宋体" w:eastAsia="黑体"/>
          <w:b/>
          <w:spacing w:val="-3"/>
          <w:sz w:val="24"/>
          <w:lang w:val="en-GB"/>
        </w:rPr>
        <w:t>五、教材选用与参考书</w:t>
      </w:r>
    </w:p>
    <w:p>
      <w:pPr>
        <w:snapToGrid w:val="0"/>
        <w:spacing w:line="400" w:lineRule="exact"/>
        <w:ind w:firstLine="538" w:firstLineChars="224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1、选用教材：《西方经济学基础教程》，梁小民编著，北京大学出版社,2014；</w:t>
      </w:r>
    </w:p>
    <w:p>
      <w:pPr>
        <w:spacing w:line="400" w:lineRule="exact"/>
        <w:ind w:firstLine="538" w:firstLineChars="224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、参考书：</w:t>
      </w:r>
      <w:bookmarkStart w:id="2" w:name="_Toc297541890"/>
    </w:p>
    <w:p>
      <w:pPr>
        <w:spacing w:line="400" w:lineRule="exact"/>
        <w:ind w:firstLine="538" w:firstLineChars="224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曼昆著，《经济学原理》（上、下册）（第四版），北京大学出版社，2006年；</w:t>
      </w:r>
    </w:p>
    <w:p>
      <w:pPr>
        <w:spacing w:line="400" w:lineRule="exact"/>
        <w:ind w:firstLine="538" w:firstLineChars="224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斯蒂格利茨著，《经济学》（第四版），中国人民大学出版社，2010年。</w:t>
      </w:r>
    </w:p>
    <w:p>
      <w:pPr>
        <w:snapToGrid w:val="0"/>
        <w:spacing w:line="400" w:lineRule="exact"/>
        <w:rPr>
          <w:rFonts w:eastAsia="黑体"/>
          <w:b/>
          <w:sz w:val="24"/>
        </w:rPr>
      </w:pPr>
      <w:r>
        <w:rPr>
          <w:rFonts w:hint="eastAsia" w:eastAsia="黑体"/>
          <w:b/>
          <w:sz w:val="24"/>
        </w:rPr>
        <w:t>六、课程进度表</w:t>
      </w:r>
      <w:bookmarkEnd w:id="2"/>
    </w:p>
    <w:tbl>
      <w:tblPr>
        <w:tblStyle w:val="7"/>
        <w:tblW w:w="9114" w:type="dxa"/>
        <w:tblInd w:w="-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836"/>
        <w:gridCol w:w="2700"/>
        <w:gridCol w:w="3558"/>
        <w:gridCol w:w="4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黑体" w:hAnsi="宋体" w:eastAsia="黑体"/>
                <w:b/>
                <w:szCs w:val="21"/>
              </w:rPr>
            </w:pPr>
            <w:r>
              <w:rPr>
                <w:rFonts w:hint="eastAsia" w:ascii="黑体" w:hAnsi="宋体" w:eastAsia="黑体"/>
                <w:b/>
                <w:szCs w:val="21"/>
              </w:rPr>
              <w:t>周</w:t>
            </w:r>
          </w:p>
          <w:p>
            <w:pPr>
              <w:spacing w:line="400" w:lineRule="exact"/>
              <w:jc w:val="center"/>
              <w:rPr>
                <w:rFonts w:ascii="黑体" w:hAnsi="宋体" w:eastAsia="黑体"/>
                <w:b/>
                <w:szCs w:val="21"/>
              </w:rPr>
            </w:pPr>
            <w:r>
              <w:rPr>
                <w:rFonts w:hint="eastAsia" w:ascii="黑体" w:hAnsi="宋体" w:eastAsia="黑体"/>
                <w:b/>
                <w:szCs w:val="21"/>
              </w:rPr>
              <w:t>次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黑体" w:hAnsi="宋体" w:eastAsia="黑体"/>
                <w:b/>
                <w:szCs w:val="21"/>
              </w:rPr>
            </w:pPr>
            <w:r>
              <w:rPr>
                <w:rFonts w:hint="eastAsia" w:ascii="黑体" w:hAnsi="宋体" w:eastAsia="黑体"/>
                <w:b/>
                <w:szCs w:val="21"/>
              </w:rPr>
              <w:t>教学主题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黑体" w:hAnsi="宋体" w:eastAsia="黑体"/>
                <w:b/>
                <w:szCs w:val="21"/>
              </w:rPr>
            </w:pPr>
            <w:r>
              <w:rPr>
                <w:rFonts w:hint="eastAsia" w:ascii="黑体" w:hAnsi="宋体" w:eastAsia="黑体"/>
                <w:b/>
                <w:szCs w:val="21"/>
              </w:rPr>
              <w:t>要点与重点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黑体" w:hAnsi="宋体" w:eastAsia="黑体"/>
                <w:b/>
                <w:szCs w:val="21"/>
              </w:rPr>
            </w:pPr>
            <w:r>
              <w:rPr>
                <w:rFonts w:hint="eastAsia" w:ascii="黑体" w:hAnsi="宋体" w:eastAsia="黑体"/>
                <w:b/>
                <w:szCs w:val="21"/>
              </w:rPr>
              <w:t>要求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黑体" w:hAnsi="宋体" w:eastAsia="黑体"/>
                <w:b/>
                <w:szCs w:val="21"/>
              </w:rPr>
            </w:pPr>
            <w:r>
              <w:rPr>
                <w:rFonts w:hint="eastAsia" w:ascii="黑体" w:hAnsi="宋体" w:eastAsia="黑体"/>
                <w:b/>
                <w:szCs w:val="21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西方经济学的</w:t>
            </w:r>
          </w:p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研究对象和方法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社会经济基本问题、实证分析方法、规范分析方法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tabs>
                <w:tab w:val="left" w:pos="360"/>
              </w:tabs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关键概念：稀缺性</w:t>
            </w:r>
          </w:p>
          <w:p>
            <w:pPr>
              <w:numPr>
                <w:ilvl w:val="0"/>
                <w:numId w:val="1"/>
              </w:numPr>
              <w:tabs>
                <w:tab w:val="left" w:pos="0"/>
                <w:tab w:val="left" w:pos="360"/>
              </w:tabs>
              <w:spacing w:line="400" w:lineRule="exact"/>
              <w:ind w:left="0" w:firstLine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掌握社会经济基本问题、实证分析方法和规范分析方法的区别。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供求理论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需求规律、供给规律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numPr>
                <w:ilvl w:val="0"/>
                <w:numId w:val="2"/>
              </w:numPr>
              <w:spacing w:line="400" w:lineRule="exact"/>
              <w:ind w:firstLineChars="0"/>
              <w:rPr>
                <w:rFonts w:cs="Tahoma"/>
                <w:szCs w:val="21"/>
              </w:rPr>
            </w:pPr>
            <w:r>
              <w:rPr>
                <w:rStyle w:val="11"/>
                <w:rFonts w:hint="default" w:cs="Tahoma"/>
              </w:rPr>
              <w:t>关键概念：需求、供给、需求规律、供给规律</w:t>
            </w:r>
            <w:r>
              <w:rPr>
                <w:rFonts w:hint="eastAsia" w:cs="Tahoma"/>
                <w:szCs w:val="21"/>
              </w:rPr>
              <w:t>。</w:t>
            </w:r>
          </w:p>
          <w:p>
            <w:pPr>
              <w:pStyle w:val="14"/>
              <w:numPr>
                <w:ilvl w:val="0"/>
                <w:numId w:val="2"/>
              </w:numPr>
              <w:spacing w:line="400" w:lineRule="exact"/>
              <w:ind w:firstLineChars="0"/>
              <w:rPr>
                <w:rFonts w:ascii="宋体" w:hAnsi="宋体" w:cs="Tahoma"/>
                <w:szCs w:val="21"/>
              </w:rPr>
            </w:pPr>
            <w:r>
              <w:rPr>
                <w:rFonts w:hint="eastAsia" w:ascii="宋体" w:hAnsi="宋体" w:cs="Tahoma"/>
                <w:szCs w:val="21"/>
              </w:rPr>
              <w:t>掌握影响商品供求的因素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均衡价格的形成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均衡价格的决定、支持价格和限制限价格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cs="Tahoma"/>
                <w:szCs w:val="21"/>
              </w:rPr>
            </w:pPr>
            <w:r>
              <w:rPr>
                <w:rStyle w:val="11"/>
                <w:rFonts w:hint="default" w:cs="Tahoma"/>
              </w:rPr>
              <w:t>1、关键概念：均衡价格、支持价格、限制价格。</w:t>
            </w:r>
          </w:p>
          <w:p>
            <w:pPr>
              <w:spacing w:line="400" w:lineRule="exact"/>
              <w:rPr>
                <w:rStyle w:val="11"/>
                <w:rFonts w:hint="default" w:cs="Tahoma"/>
              </w:rPr>
            </w:pPr>
            <w:r>
              <w:rPr>
                <w:rStyle w:val="11"/>
                <w:rFonts w:hint="default" w:cs="Tahoma"/>
              </w:rPr>
              <w:t>2、运用需求——供给模型，分析均衡价格变动以及政府对价格的干预。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弹性理论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弹性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1、关键概念：</w:t>
            </w:r>
            <w:r>
              <w:rPr>
                <w:rFonts w:hint="eastAsia" w:cs="Tahoma"/>
                <w:szCs w:val="21"/>
              </w:rPr>
              <w:t>弹性、需求价格弹性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2、掌握</w:t>
            </w:r>
            <w:r>
              <w:rPr>
                <w:rFonts w:hint="eastAsia" w:cs="Tahoma"/>
                <w:szCs w:val="21"/>
              </w:rPr>
              <w:t>弹性的计算和应用。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基数效用论、序数效用论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边际效用递减规律、总效用和边际效用的关系、无差异曲线、消费者均衡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3"/>
              </w:numPr>
              <w:tabs>
                <w:tab w:val="left" w:pos="0"/>
                <w:tab w:val="left" w:pos="360"/>
              </w:tabs>
              <w:spacing w:line="400" w:lineRule="exact"/>
              <w:ind w:left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1、关键概念：边际效用递减规律、总效用、边际效用、无差异曲线、边际替代率。</w:t>
            </w:r>
          </w:p>
          <w:p>
            <w:pPr>
              <w:numPr>
                <w:ilvl w:val="0"/>
                <w:numId w:val="3"/>
              </w:numPr>
              <w:tabs>
                <w:tab w:val="left" w:pos="0"/>
              </w:tabs>
              <w:spacing w:line="400" w:lineRule="exact"/>
              <w:ind w:left="0" w:firstLine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掌握总效用和边际效用的关系。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一种可变要素的生产函数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总产量、平均产量和边际产量曲线图及其三条曲线的关系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cs="Tahoma"/>
                <w:szCs w:val="21"/>
              </w:rPr>
            </w:pPr>
            <w:r>
              <w:rPr>
                <w:rFonts w:cs="Tahoma"/>
                <w:szCs w:val="21"/>
              </w:rPr>
              <w:t>1</w:t>
            </w:r>
            <w:r>
              <w:rPr>
                <w:rFonts w:hint="eastAsia" w:cs="Tahoma"/>
                <w:szCs w:val="21"/>
              </w:rPr>
              <w:t>、关键概念：生产函数、边际产量、边际报酬递减规律。</w:t>
            </w:r>
          </w:p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cs="Tahoma"/>
                <w:szCs w:val="21"/>
              </w:rPr>
              <w:t>2</w:t>
            </w:r>
            <w:r>
              <w:rPr>
                <w:rFonts w:hint="eastAsia" w:cs="Tahoma"/>
                <w:szCs w:val="21"/>
              </w:rPr>
              <w:t>、运用总产量、平均产量和边际产量三条曲线图分析三者之间的关系。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两种可变要素的生产函数、成本与收益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生产者均衡、短期成本、长期成本、机会成本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cs="Tahom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1、关键概念：机会成本、</w:t>
            </w:r>
            <w:r>
              <w:rPr>
                <w:rFonts w:hint="eastAsia" w:cs="Tahoma"/>
                <w:szCs w:val="21"/>
              </w:rPr>
              <w:t>显性成本、隐性成本、经济利润、会计利润、固定成本、可变成本、平均可变成本、边际成本。</w:t>
            </w:r>
          </w:p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cs="Tahoma"/>
                <w:szCs w:val="21"/>
              </w:rPr>
              <w:t>2</w:t>
            </w:r>
            <w:r>
              <w:rPr>
                <w:rFonts w:hint="eastAsia" w:cs="Tahoma"/>
                <w:szCs w:val="21"/>
              </w:rPr>
              <w:t>、掌握经济利润和会计利润之间的差异。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完全竞争市场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完全竞争市场的条件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4"/>
              </w:numPr>
              <w:tabs>
                <w:tab w:val="left" w:pos="360"/>
              </w:tabs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关键概念：完全竞争市场、行业</w:t>
            </w:r>
          </w:p>
          <w:p>
            <w:pPr>
              <w:numPr>
                <w:ilvl w:val="0"/>
                <w:numId w:val="4"/>
              </w:numPr>
              <w:tabs>
                <w:tab w:val="left" w:pos="360"/>
              </w:tabs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掌握完全竞争市场的条件。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垄断竞争市场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不完全竞争市场的条件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5"/>
              </w:numPr>
              <w:tabs>
                <w:tab w:val="left" w:pos="360"/>
              </w:tabs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关键概念：垄断市场、垄断竞争市场、寡头市场。</w:t>
            </w:r>
          </w:p>
          <w:p>
            <w:pPr>
              <w:numPr>
                <w:ilvl w:val="0"/>
                <w:numId w:val="5"/>
              </w:numPr>
              <w:tabs>
                <w:tab w:val="left" w:pos="360"/>
              </w:tabs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不完全竞争市场的条件。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分配理论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工资、利息、地租和利润的决定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了解工资、地租、利息和利润的性质。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阶段总结与课堂作业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微观经济学部分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要求掌握微观经济学部分的基本原理和基本分析方法。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国民收入核算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国内生产总值的决定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6"/>
              </w:numPr>
              <w:tabs>
                <w:tab w:val="left" w:pos="360"/>
              </w:tabs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关键概念：国内生产总值</w:t>
            </w:r>
          </w:p>
          <w:p>
            <w:pPr>
              <w:numPr>
                <w:ilvl w:val="0"/>
                <w:numId w:val="6"/>
              </w:numPr>
              <w:tabs>
                <w:tab w:val="left" w:pos="360"/>
              </w:tabs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国内生产总值的核算方法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13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IS-LM模型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IS曲线、LM曲线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了解IS曲线、LM曲线特征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14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通货膨胀理论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失业与通货膨胀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7"/>
              </w:numPr>
              <w:tabs>
                <w:tab w:val="left" w:pos="360"/>
              </w:tabs>
              <w:spacing w:line="400" w:lineRule="exact"/>
              <w:ind w:left="0" w:firstLine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关键概念：失业、通货膨胀、2、了解失业和通货膨胀的类型。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财政政策、货币政策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扩张性财政政策和紧缩性财政政策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8"/>
              </w:numPr>
              <w:tabs>
                <w:tab w:val="left" w:pos="360"/>
              </w:tabs>
              <w:spacing w:line="400" w:lineRule="exact"/>
              <w:ind w:left="0" w:firstLine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关键概念：财政政策、货币政策2、掌握两种政策出台的背景和原因。</w:t>
            </w: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16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复习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所学内容</w:t>
            </w: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17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复习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18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考试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</w:tr>
    </w:tbl>
    <w:p>
      <w:pPr>
        <w:spacing w:line="400" w:lineRule="exact"/>
        <w:rPr>
          <w:rFonts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七、教学方法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在讲授过程中，以教材为主，联系现实经济现象，加深同学们对经济学原理的理解和掌握。</w:t>
      </w:r>
    </w:p>
    <w:p>
      <w:pPr>
        <w:spacing w:line="400" w:lineRule="exact"/>
        <w:ind w:firstLine="480" w:firstLineChars="200"/>
        <w:rPr>
          <w:rFonts w:ascii="楷体_GB2312" w:eastAsia="楷体_GB2312"/>
          <w:sz w:val="24"/>
        </w:rPr>
      </w:pPr>
      <w:r>
        <w:rPr>
          <w:rFonts w:hint="eastAsia" w:ascii="宋体" w:hAnsi="宋体"/>
          <w:sz w:val="24"/>
        </w:rPr>
        <w:t>教学方法是重点运用把握逻辑起点实现举一反三，引入案例教学，搞好理论与实际的结合，调整和充实教学内容，采用探究式教学，注重学生应用能力的培养，让经济学能够做到看得见、摸得着，用得上，调动同学们的学习积极性，提高学习效果。</w:t>
      </w:r>
    </w:p>
    <w:p>
      <w:pPr>
        <w:spacing w:line="400" w:lineRule="exact"/>
        <w:outlineLvl w:val="0"/>
        <w:rPr>
          <w:rFonts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八、对学生的学习要求</w:t>
      </w:r>
    </w:p>
    <w:p>
      <w:pPr>
        <w:spacing w:line="400" w:lineRule="exact"/>
        <w:ind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1、学习本课程的方法、策略及教育资源的利用</w:t>
      </w:r>
    </w:p>
    <w:p>
      <w:pPr>
        <w:spacing w:line="400" w:lineRule="exact"/>
        <w:rPr>
          <w:rFonts w:ascii="宋体" w:hAnsi="宋体"/>
          <w:sz w:val="24"/>
        </w:rPr>
      </w:pPr>
      <w:r>
        <w:rPr>
          <w:rFonts w:hint="eastAsia" w:ascii="楷体_GB2312" w:hAnsi="宋体" w:eastAsia="楷体_GB2312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根据多年的教学经验，同学们要学好《经济学原理》首先要认真听课，同时要阅读教师指定必读书目和参考阅读文献，在此基础上课后要多做习题，加深对经济学的理解。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同学们要充分利用图书馆丰富的图书资料和网络资源，东莞经济的迅速发展，为同学们提供了丰富的社会资源，搜集这方面的资料，运用经济学原理加以分析，可以大大提高学习效果。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2、学生必须阅读的论著与宣读的论著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为帮助学生巩固应熟练掌握的基本知识和技能，体现教学的基本要求，建议同学可以阅读以下文献：</w:t>
      </w:r>
    </w:p>
    <w:p>
      <w:pPr>
        <w:spacing w:line="400" w:lineRule="exact"/>
        <w:ind w:firstLine="538" w:firstLineChars="224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曼昆著，《经济学原理》（上下册）（第四版），北京大学出版社，2006年</w:t>
      </w:r>
    </w:p>
    <w:p>
      <w:pPr>
        <w:spacing w:line="400" w:lineRule="exact"/>
        <w:ind w:firstLine="538" w:firstLineChars="224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斯蒂格利茨著，黄险峰等译，《经济学》（第四版），中国人民大学出版社，2010年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保罗·A·萨缪尔逊，威廉·D·诺德豪斯著，萧琛译，《经济学》（第十八版），人民邮电出版社，2008年</w:t>
      </w:r>
    </w:p>
    <w:p>
      <w:pPr>
        <w:spacing w:line="400" w:lineRule="exact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高鸿业著，《西方经济学》（上、下册）（第五版），中国人民大学出版社，2012年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3、学生完成本课程每周须耗费的时间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掌握本课程内容，学生在课内与课外所要花费的最少时间为5小时。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4、学生参与教学评价要求</w:t>
      </w:r>
    </w:p>
    <w:p>
      <w:pPr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说明课程结束前1-2周内，按照学校统一安排，同学们通过网上评教系统，回答调查问卷，实事求是地对本课程及任课教师的教学效果做出客观公正的评价，是学生应尽的责任和义务，对促进教师改进教学工作具有重要的意义。</w:t>
      </w:r>
    </w:p>
    <w:p>
      <w:pPr>
        <w:spacing w:line="400" w:lineRule="exact"/>
        <w:outlineLvl w:val="0"/>
        <w:rPr>
          <w:rFonts w:ascii="黑体" w:hAnsi="宋体" w:eastAsia="黑体"/>
          <w:b/>
          <w:sz w:val="24"/>
        </w:rPr>
      </w:pPr>
      <w:r>
        <w:rPr>
          <w:rFonts w:hint="eastAsia" w:ascii="黑体" w:hAnsi="宋体" w:eastAsia="黑体"/>
          <w:b/>
          <w:sz w:val="24"/>
        </w:rPr>
        <w:t>九、成绩评定方法及标准</w:t>
      </w:r>
    </w:p>
    <w:tbl>
      <w:tblPr>
        <w:tblStyle w:val="7"/>
        <w:tblW w:w="7390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7"/>
        <w:gridCol w:w="5213"/>
        <w:gridCol w:w="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考核内容</w:t>
            </w:r>
          </w:p>
        </w:tc>
        <w:tc>
          <w:tcPr>
            <w:tcW w:w="5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评价标准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完成作业</w:t>
            </w:r>
          </w:p>
        </w:tc>
        <w:tc>
          <w:tcPr>
            <w:tcW w:w="5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ind w:left="18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不能完成作业每次扣10分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ind w:left="180"/>
              <w:jc w:val="center"/>
              <w:rPr>
                <w:rFonts w:cs="Tahoma"/>
                <w:szCs w:val="21"/>
              </w:rPr>
            </w:pPr>
            <w:r>
              <w:rPr>
                <w:rFonts w:hint="eastAsia" w:cs="Tahoma"/>
                <w:szCs w:val="21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期中测试</w:t>
            </w:r>
          </w:p>
        </w:tc>
        <w:tc>
          <w:tcPr>
            <w:tcW w:w="5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ind w:left="18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测试成绩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ind w:left="180"/>
              <w:jc w:val="center"/>
              <w:rPr>
                <w:rFonts w:cs="Tahoma"/>
                <w:szCs w:val="21"/>
              </w:rPr>
            </w:pPr>
            <w:r>
              <w:rPr>
                <w:rFonts w:hint="eastAsia" w:cs="Tahoma"/>
                <w:szCs w:val="21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期末考核</w:t>
            </w:r>
          </w:p>
        </w:tc>
        <w:tc>
          <w:tcPr>
            <w:tcW w:w="5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按照试卷的完成情况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ind w:left="180"/>
              <w:jc w:val="center"/>
              <w:rPr>
                <w:rFonts w:cs="Tahoma"/>
                <w:szCs w:val="21"/>
              </w:rPr>
            </w:pPr>
            <w:r>
              <w:rPr>
                <w:rFonts w:hint="eastAsia" w:cs="Tahoma"/>
                <w:szCs w:val="21"/>
              </w:rPr>
              <w:t>70%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0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考试方式</w:t>
            </w:r>
          </w:p>
        </w:tc>
        <w:tc>
          <w:tcPr>
            <w:tcW w:w="6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闭卷</w:t>
            </w:r>
            <w:r>
              <w:rPr>
                <w:rFonts w:hint="eastAsia" w:ascii="宋体" w:hAnsi="宋体"/>
                <w:b/>
                <w:szCs w:val="21"/>
              </w:rPr>
              <w:t xml:space="preserve">  </w:t>
            </w:r>
          </w:p>
        </w:tc>
      </w:tr>
    </w:tbl>
    <w:p>
      <w:pPr>
        <w:spacing w:line="400" w:lineRule="exact"/>
        <w:outlineLvl w:val="0"/>
        <w:rPr>
          <w:rFonts w:ascii="黑体" w:hAnsi="宋体" w:eastAsia="黑体"/>
          <w:b/>
          <w:sz w:val="24"/>
        </w:rPr>
      </w:pPr>
      <w:r>
        <w:rPr>
          <w:rFonts w:hint="eastAsia" w:ascii="黑体" w:hAnsi="宋体" w:eastAsia="黑体"/>
          <w:b/>
          <w:sz w:val="24"/>
        </w:rPr>
        <w:t>十、院（系）教学委员会审查意见</w:t>
      </w:r>
    </w:p>
    <w:tbl>
      <w:tblPr>
        <w:tblStyle w:val="7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after="120" w:line="400" w:lineRule="exact"/>
              <w:ind w:firstLine="470" w:firstLineChars="196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我院（系）教学委员会已对本课程教学大纲进行了审查，同意执行。</w:t>
            </w:r>
          </w:p>
          <w:p>
            <w:pPr>
              <w:spacing w:after="120" w:line="400" w:lineRule="exact"/>
              <w:ind w:firstLine="360" w:firstLineChars="150"/>
              <w:jc w:val="center"/>
              <w:rPr>
                <w:rFonts w:eastAsia="楷体_GB2312"/>
                <w:sz w:val="24"/>
              </w:rPr>
            </w:pPr>
          </w:p>
          <w:p>
            <w:pPr>
              <w:spacing w:after="120" w:line="400" w:lineRule="exact"/>
              <w:ind w:firstLine="360" w:firstLineChars="150"/>
              <w:jc w:val="center"/>
              <w:rPr>
                <w:rFonts w:eastAsia="楷体_GB2312"/>
                <w:sz w:val="24"/>
              </w:rPr>
            </w:pPr>
          </w:p>
          <w:p>
            <w:pPr>
              <w:spacing w:after="120" w:line="400" w:lineRule="exact"/>
              <w:ind w:firstLine="360" w:firstLineChars="150"/>
              <w:jc w:val="center"/>
              <w:rPr>
                <w:rFonts w:eastAsia="楷体_GB2312"/>
                <w:sz w:val="24"/>
              </w:rPr>
            </w:pPr>
          </w:p>
          <w:p>
            <w:pPr>
              <w:spacing w:after="120" w:line="400" w:lineRule="exact"/>
              <w:ind w:firstLine="360" w:firstLineChars="150"/>
              <w:jc w:val="center"/>
              <w:rPr>
                <w:rFonts w:eastAsia="楷体_GB2312"/>
                <w:sz w:val="24"/>
              </w:rPr>
            </w:pPr>
          </w:p>
          <w:p>
            <w:pPr>
              <w:spacing w:after="120" w:line="400" w:lineRule="exact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院（系）教学委员会主任签名：</w:t>
            </w:r>
            <w:r>
              <w:rPr>
                <w:rFonts w:eastAsia="楷体_GB2312"/>
                <w:sz w:val="24"/>
              </w:rPr>
              <w:t xml:space="preserve">              </w:t>
            </w:r>
            <w:r>
              <w:rPr>
                <w:rFonts w:hint="eastAsia" w:eastAsia="楷体_GB2312"/>
                <w:sz w:val="24"/>
              </w:rPr>
              <w:t>日期：</w:t>
            </w:r>
            <w:r>
              <w:rPr>
                <w:rFonts w:eastAsia="楷体_GB2312"/>
                <w:sz w:val="24"/>
              </w:rPr>
              <w:t xml:space="preserve">      </w:t>
            </w:r>
            <w:r>
              <w:rPr>
                <w:rFonts w:hint="eastAsia" w:eastAsia="楷体_GB2312"/>
                <w:sz w:val="24"/>
              </w:rPr>
              <w:t>年</w:t>
            </w:r>
            <w:r>
              <w:rPr>
                <w:rFonts w:eastAsia="楷体_GB2312"/>
                <w:sz w:val="24"/>
              </w:rPr>
              <w:t xml:space="preserve">    </w:t>
            </w:r>
            <w:r>
              <w:rPr>
                <w:rFonts w:hint="eastAsia" w:eastAsia="楷体_GB2312"/>
                <w:sz w:val="24"/>
              </w:rPr>
              <w:t>月</w:t>
            </w:r>
            <w:r>
              <w:rPr>
                <w:rFonts w:eastAsia="楷体_GB2312"/>
                <w:sz w:val="24"/>
              </w:rPr>
              <w:t xml:space="preserve">    </w:t>
            </w:r>
            <w:r>
              <w:rPr>
                <w:rFonts w:hint="eastAsia" w:eastAsia="楷体_GB2312"/>
                <w:sz w:val="24"/>
              </w:rPr>
              <w:t>日</w:t>
            </w:r>
          </w:p>
        </w:tc>
      </w:tr>
    </w:tbl>
    <w:p>
      <w:pPr/>
    </w:p>
    <w:p>
      <w:pPr/>
    </w:p>
    <w:p>
      <w:pPr/>
    </w:p>
    <w:p>
      <w:pPr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  <w:jc w:val="center"/>
    </w:pPr>
    <w:r>
      <w:rPr>
        <w:rStyle w:val="6"/>
      </w:rPr>
      <w:fldChar w:fldCharType="begin"/>
    </w:r>
    <w:r>
      <w:rPr>
        <w:rStyle w:val="6"/>
      </w:rPr>
      <w:instrText xml:space="preserve"> PAGE </w:instrText>
    </w:r>
    <w:r>
      <w:rPr>
        <w:rStyle w:val="6"/>
      </w:rPr>
      <w:fldChar w:fldCharType="separate"/>
    </w:r>
    <w:r>
      <w:rPr>
        <w:rStyle w:val="6"/>
      </w:rPr>
      <w:t>5</w:t>
    </w:r>
    <w:r>
      <w:rPr>
        <w:rStyle w:val="6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60969690">
    <w:nsid w:val="5714A0DA"/>
    <w:multiLevelType w:val="multilevel"/>
    <w:tmpl w:val="5714A0DA"/>
    <w:lvl w:ilvl="0" w:tentative="1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20383097">
    <w:nsid w:val="4EB37279"/>
    <w:multiLevelType w:val="multilevel"/>
    <w:tmpl w:val="4EB37279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 w:ascii="宋体" w:hAnsi="宋体"/>
        <w:color w:val="000000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60969679">
    <w:nsid w:val="5714A0CF"/>
    <w:multiLevelType w:val="multilevel"/>
    <w:tmpl w:val="5714A0CF"/>
    <w:lvl w:ilvl="0" w:tentative="1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60969701">
    <w:nsid w:val="5714A0E5"/>
    <w:multiLevelType w:val="multilevel"/>
    <w:tmpl w:val="5714A0E5"/>
    <w:lvl w:ilvl="0" w:tentative="1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60969712">
    <w:nsid w:val="5714A0F0"/>
    <w:multiLevelType w:val="multilevel"/>
    <w:tmpl w:val="5714A0F0"/>
    <w:lvl w:ilvl="0" w:tentative="1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60969723">
    <w:nsid w:val="5714A0FB"/>
    <w:multiLevelType w:val="multilevel"/>
    <w:tmpl w:val="5714A0FB"/>
    <w:lvl w:ilvl="0" w:tentative="1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60969734">
    <w:nsid w:val="5714A106"/>
    <w:multiLevelType w:val="multilevel"/>
    <w:tmpl w:val="5714A106"/>
    <w:lvl w:ilvl="0" w:tentative="1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60969745">
    <w:nsid w:val="5714A111"/>
    <w:multiLevelType w:val="multilevel"/>
    <w:tmpl w:val="5714A111"/>
    <w:lvl w:ilvl="0" w:tentative="1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460969679"/>
    <w:lvlOverride w:ilvl="0">
      <w:startOverride w:val="1"/>
    </w:lvlOverride>
  </w:num>
  <w:num w:numId="2">
    <w:abstractNumId w:val="1320383097"/>
  </w:num>
  <w:num w:numId="3">
    <w:abstractNumId w:val="1460969690"/>
    <w:lvlOverride w:ilvl="0">
      <w:startOverride w:val="1"/>
    </w:lvlOverride>
  </w:num>
  <w:num w:numId="4">
    <w:abstractNumId w:val="1460969701"/>
    <w:lvlOverride w:ilvl="0">
      <w:startOverride w:val="1"/>
    </w:lvlOverride>
  </w:num>
  <w:num w:numId="5">
    <w:abstractNumId w:val="1460969712"/>
    <w:lvlOverride w:ilvl="0">
      <w:startOverride w:val="1"/>
    </w:lvlOverride>
  </w:num>
  <w:num w:numId="6">
    <w:abstractNumId w:val="1460969723"/>
    <w:lvlOverride w:ilvl="0">
      <w:startOverride w:val="1"/>
    </w:lvlOverride>
  </w:num>
  <w:num w:numId="7">
    <w:abstractNumId w:val="1460969734"/>
    <w:lvlOverride w:ilvl="0">
      <w:startOverride w:val="1"/>
    </w:lvlOverride>
  </w:num>
  <w:num w:numId="8">
    <w:abstractNumId w:val="146096974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0965"/>
    <w:rsid w:val="00130965"/>
    <w:rsid w:val="00220B4E"/>
    <w:rsid w:val="00567A7A"/>
    <w:rsid w:val="007C78D7"/>
    <w:rsid w:val="753B551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link w:val="10"/>
    <w:uiPriority w:val="0"/>
    <w:rPr>
      <w:rFonts w:ascii="宋体" w:hAnsi="Courier New" w:eastAsiaTheme="minorEastAsia" w:cstheme="minorBidi"/>
      <w:kern w:val="2"/>
      <w:sz w:val="24"/>
      <w:szCs w:val="22"/>
      <w:lang w:val="en-US" w:eastAsia="zh-CN" w:bidi="ar-SA"/>
    </w:rPr>
  </w:style>
  <w:style w:type="paragraph" w:styleId="3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table" w:styleId="8">
    <w:name w:val="Table Grid"/>
    <w:basedOn w:val="7"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纯文本 Char"/>
    <w:basedOn w:val="5"/>
    <w:link w:val="2"/>
    <w:locked/>
    <w:uiPriority w:val="0"/>
    <w:rPr>
      <w:rFonts w:ascii="宋体" w:hAnsi="Courier New"/>
      <w:sz w:val="24"/>
    </w:rPr>
  </w:style>
  <w:style w:type="character" w:customStyle="1" w:styleId="10">
    <w:name w:val="纯文本 Char1"/>
    <w:basedOn w:val="5"/>
    <w:link w:val="2"/>
    <w:semiHidden/>
    <w:uiPriority w:val="99"/>
    <w:rPr>
      <w:rFonts w:ascii="宋体" w:hAnsi="Courier New" w:eastAsia="宋体" w:cs="Courier New"/>
      <w:szCs w:val="21"/>
    </w:rPr>
  </w:style>
  <w:style w:type="character" w:customStyle="1" w:styleId="11">
    <w:name w:val="style51"/>
    <w:basedOn w:val="5"/>
    <w:uiPriority w:val="0"/>
    <w:rPr>
      <w:rFonts w:hint="eastAsia" w:ascii="宋体" w:hAnsi="宋体" w:eastAsia="宋体"/>
      <w:color w:val="000000"/>
      <w:sz w:val="21"/>
      <w:szCs w:val="21"/>
    </w:rPr>
  </w:style>
  <w:style w:type="character" w:customStyle="1" w:styleId="12">
    <w:name w:val="页眉 Char"/>
    <w:basedOn w:val="5"/>
    <w:link w:val="4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Char"/>
    <w:basedOn w:val="5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512</Words>
  <Characters>2925</Characters>
  <Lines>24</Lines>
  <Paragraphs>6</Paragraphs>
  <TotalTime>0</TotalTime>
  <ScaleCrop>false</ScaleCrop>
  <LinksUpToDate>false</LinksUpToDate>
  <CharactersWithSpaces>3431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2016-03-07T02:10:00Z</dcterms:created>
  <dc:creator>刘伟</dc:creator>
  <cp:lastModifiedBy>刘璇</cp:lastModifiedBy>
  <dcterms:modified xsi:type="dcterms:W3CDTF">2016-04-18T08:53:44Z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