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after="0"/>
        <w:jc w:val="center"/>
        <w:rPr>
          <w:rFonts w:ascii="宋体" w:eastAsia="宋体" w:hAnsi="宋体"/>
          <w:b/>
          <w:sz w:val="32"/>
          <w:szCs w:val="32"/>
          <w:lang w:eastAsia="zh-CN"/>
        </w:rPr>
      </w:pPr>
      <w:r>
        <w:rPr>
          <w:rFonts w:ascii="宋体" w:hAnsi="宋体" w:hint="eastAsia"/>
          <w:b/>
          <w:sz w:val="32"/>
          <w:szCs w:val="32"/>
        </w:rPr>
        <w:t>《中级会计学(一)》课程教学大纲</w:t>
      </w:r>
    </w:p>
    <w:tbl>
      <w:tblPr>
        <w:tblStyle w:val="style105"/>
        <w:tblW w:w="940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48"/>
        <w:gridCol w:w="1237"/>
        <w:gridCol w:w="122"/>
        <w:gridCol w:w="506"/>
        <w:gridCol w:w="2036"/>
        <w:gridCol w:w="2805"/>
        <w:gridCol w:w="796"/>
        <w:gridCol w:w="158"/>
        <w:gridCol w:w="1093"/>
      </w:tblGrid>
      <w:tr>
        <w:trPr>
          <w:trHeight w:val="340" w:hRule="atLeast"/>
          <w:jc w:val="center"/>
        </w:trPr>
        <w:tc>
          <w:tcPr>
            <w:tcW w:w="4549" w:type="dxa"/>
            <w:gridSpan w:val="5"/>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课程名称：中级会计学(一)</w:t>
            </w:r>
          </w:p>
        </w:tc>
        <w:tc>
          <w:tcPr>
            <w:tcW w:w="4852" w:type="dxa"/>
            <w:gridSpan w:val="4"/>
            <w:tcBorders/>
            <w:vAlign w:val="center"/>
          </w:tcPr>
          <w:p>
            <w:pPr>
              <w:pStyle w:val="style0"/>
              <w:tabs>
                <w:tab w:val="left" w:leader="none" w:pos="1440"/>
              </w:tabs>
              <w:spacing w:after="0" w:lineRule="atLeast" w:line="0"/>
              <w:outlineLvl w:val="0"/>
              <w:rPr>
                <w:rFonts w:ascii="宋体" w:eastAsia="宋体" w:hAnsi="宋体"/>
                <w:sz w:val="21"/>
                <w:szCs w:val="21"/>
                <w:lang w:eastAsia="zh-CN"/>
              </w:rPr>
            </w:pPr>
            <w:r>
              <w:rPr>
                <w:rFonts w:ascii="宋体" w:eastAsia="宋体" w:hAnsi="宋体" w:hint="eastAsia"/>
                <w:b/>
                <w:sz w:val="21"/>
                <w:szCs w:val="21"/>
                <w:lang w:eastAsia="zh-CN"/>
              </w:rPr>
              <w:t>课程类别（必修/选修）：必修</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b/>
                <w:sz w:val="21"/>
                <w:szCs w:val="21"/>
              </w:rPr>
            </w:pPr>
            <w:r>
              <w:rPr>
                <w:rFonts w:ascii="宋体" w:eastAsia="宋体" w:hAnsi="宋体" w:hint="eastAsia"/>
                <w:b/>
                <w:sz w:val="21"/>
                <w:szCs w:val="21"/>
              </w:rPr>
              <w:t xml:space="preserve">课程英文名称： </w:t>
            </w:r>
            <w:r>
              <w:rPr>
                <w:rFonts w:ascii="Times New Roman" w:cs="Times New Roman" w:eastAsia="宋体" w:hAnsi="Times New Roman" w:hint="default"/>
                <w:sz w:val="21"/>
                <w:szCs w:val="21"/>
              </w:rPr>
              <w:t>Intermediate Accounting(Ⅰ)</w:t>
            </w:r>
          </w:p>
        </w:tc>
      </w:tr>
      <w:tr>
        <w:tblPrEx/>
        <w:trPr>
          <w:trHeight w:val="340" w:hRule="atLeast"/>
          <w:jc w:val="center"/>
        </w:trPr>
        <w:tc>
          <w:tcPr>
            <w:tcW w:w="4549" w:type="dxa"/>
            <w:gridSpan w:val="5"/>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总学时/周学时/学分：</w:t>
            </w:r>
            <w:r>
              <w:rPr>
                <w:rFonts w:ascii="宋体" w:eastAsia="宋体" w:hAnsi="宋体" w:hint="eastAsia"/>
                <w:b/>
                <w:sz w:val="21"/>
                <w:szCs w:val="21"/>
                <w:lang w:val="en-US" w:eastAsia="zh-CN"/>
              </w:rPr>
              <w:t>54/4/3</w:t>
            </w:r>
          </w:p>
        </w:tc>
        <w:tc>
          <w:tcPr>
            <w:tcW w:w="4852" w:type="dxa"/>
            <w:gridSpan w:val="4"/>
            <w:tcBorders/>
            <w:vAlign w:val="center"/>
          </w:tcPr>
          <w:p>
            <w:pPr>
              <w:pStyle w:val="style0"/>
              <w:tabs>
                <w:tab w:val="left" w:leader="none" w:pos="1440"/>
              </w:tabs>
              <w:spacing w:after="0" w:lineRule="atLeast" w:line="0"/>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
                <w:sz w:val="21"/>
                <w:szCs w:val="21"/>
                <w:lang w:val="en-US" w:eastAsia="zh-CN"/>
              </w:rPr>
              <w:t>0</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b/>
                <w:sz w:val="21"/>
                <w:szCs w:val="21"/>
              </w:rPr>
            </w:pPr>
            <w:r>
              <w:rPr>
                <w:rFonts w:ascii="宋体" w:eastAsia="宋体" w:hAnsi="宋体" w:hint="eastAsia"/>
                <w:b/>
                <w:sz w:val="21"/>
                <w:szCs w:val="21"/>
              </w:rPr>
              <w:t xml:space="preserve">先修课程： </w:t>
            </w:r>
            <w:r>
              <w:rPr>
                <w:rFonts w:ascii="宋体" w:eastAsia="宋体" w:hAnsi="宋体" w:hint="eastAsia"/>
                <w:b/>
                <w:sz w:val="21"/>
                <w:szCs w:val="21"/>
                <w:lang w:eastAsia="zh-CN"/>
              </w:rPr>
              <w:t>会计学原理</w:t>
            </w:r>
          </w:p>
        </w:tc>
      </w:tr>
      <w:tr>
        <w:tblPrEx/>
        <w:trPr>
          <w:trHeight w:val="340" w:hRule="atLeast"/>
          <w:jc w:val="center"/>
        </w:trPr>
        <w:tc>
          <w:tcPr>
            <w:tcW w:w="4549" w:type="dxa"/>
            <w:gridSpan w:val="5"/>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授课时间：</w:t>
            </w:r>
            <w:r>
              <w:rPr>
                <w:rFonts w:ascii="宋体" w:eastAsia="宋体" w:hAnsi="宋体" w:hint="eastAsia"/>
                <w:b/>
                <w:sz w:val="21"/>
                <w:szCs w:val="21"/>
                <w:lang w:eastAsia="zh-CN"/>
              </w:rPr>
              <w:t>周二</w:t>
            </w:r>
            <w:r>
              <w:rPr>
                <w:rFonts w:ascii="宋体" w:eastAsia="宋体" w:hAnsi="宋体" w:hint="eastAsia"/>
                <w:b/>
                <w:sz w:val="21"/>
                <w:szCs w:val="21"/>
                <w:lang w:val="en-US" w:eastAsia="zh-CN"/>
              </w:rPr>
              <w:t>3、4节，周五1、2节；周二5、6节，周五3、4节</w:t>
            </w:r>
          </w:p>
        </w:tc>
        <w:tc>
          <w:tcPr>
            <w:tcW w:w="4852" w:type="dxa"/>
            <w:gridSpan w:val="4"/>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授课地点：</w:t>
            </w:r>
            <w:r>
              <w:rPr>
                <w:rFonts w:ascii="宋体" w:eastAsia="宋体" w:hAnsi="宋体" w:hint="eastAsia"/>
                <w:b/>
                <w:sz w:val="21"/>
                <w:szCs w:val="21"/>
                <w:lang w:eastAsia="zh-CN"/>
              </w:rPr>
              <w:t>莞城：</w:t>
            </w:r>
            <w:r>
              <w:rPr>
                <w:rFonts w:ascii="宋体" w:eastAsia="宋体" w:hAnsi="宋体" w:hint="eastAsia"/>
                <w:b/>
                <w:sz w:val="21"/>
                <w:szCs w:val="21"/>
                <w:lang w:val="en-US" w:eastAsia="zh-CN"/>
              </w:rPr>
              <w:t>3-208、5-307；5-208、5-307</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b/>
                <w:sz w:val="21"/>
                <w:szCs w:val="21"/>
              </w:rPr>
            </w:pPr>
            <w:r>
              <w:rPr>
                <w:rFonts w:ascii="宋体" w:eastAsia="宋体" w:hAnsi="宋体" w:hint="eastAsia"/>
                <w:b/>
                <w:sz w:val="21"/>
                <w:szCs w:val="21"/>
              </w:rPr>
              <w:t xml:space="preserve">授课对象： </w:t>
            </w:r>
            <w:r>
              <w:rPr>
                <w:rFonts w:ascii="宋体" w:eastAsia="宋体" w:hAnsi="宋体" w:hint="eastAsia"/>
                <w:b/>
                <w:sz w:val="21"/>
                <w:szCs w:val="21"/>
                <w:lang w:eastAsia="zh-CN"/>
              </w:rPr>
              <w:t>经管学院</w:t>
            </w:r>
            <w:r>
              <w:rPr>
                <w:rFonts w:ascii="宋体" w:eastAsia="宋体" w:hAnsi="宋体" w:hint="eastAsia"/>
                <w:b/>
                <w:sz w:val="21"/>
                <w:szCs w:val="21"/>
                <w:lang w:val="en-US" w:eastAsia="zh-CN"/>
              </w:rPr>
              <w:t>2016级会计学1、2班和3、4班</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开课院</w:t>
            </w:r>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b/>
                <w:sz w:val="21"/>
                <w:szCs w:val="21"/>
                <w:lang w:eastAsia="zh-CN"/>
              </w:rPr>
              <w:t>经济与管理学院</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sz w:val="21"/>
                <w:szCs w:val="21"/>
                <w:lang w:eastAsia="zh-CN"/>
              </w:rPr>
            </w:pPr>
            <w:r>
              <w:rPr>
                <w:rFonts w:ascii="宋体" w:eastAsia="宋体" w:hAnsi="宋体" w:hint="eastAsia"/>
                <w:b/>
                <w:sz w:val="21"/>
                <w:szCs w:val="21"/>
                <w:lang w:eastAsia="zh-CN"/>
              </w:rPr>
              <w:t>任课教师姓名/职称：蔡传里副教授</w:t>
            </w:r>
          </w:p>
        </w:tc>
      </w:tr>
      <w:tr>
        <w:tblPrEx/>
        <w:trPr>
          <w:trHeight w:val="340" w:hRule="atLeast"/>
          <w:jc w:val="center"/>
        </w:trPr>
        <w:tc>
          <w:tcPr>
            <w:tcW w:w="4549" w:type="dxa"/>
            <w:gridSpan w:val="5"/>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
                <w:sz w:val="21"/>
                <w:szCs w:val="21"/>
                <w:lang w:val="en-US" w:eastAsia="zh-CN"/>
              </w:rPr>
              <w:t>74305</w:t>
            </w:r>
          </w:p>
        </w:tc>
        <w:tc>
          <w:tcPr>
            <w:tcW w:w="4852" w:type="dxa"/>
            <w:gridSpan w:val="4"/>
            <w:tcBorders/>
            <w:vAlign w:val="center"/>
          </w:tcPr>
          <w:p>
            <w:pPr>
              <w:pStyle w:val="style0"/>
              <w:tabs>
                <w:tab w:val="left" w:leader="none" w:pos="1440"/>
              </w:tabs>
              <w:spacing w:after="0" w:lineRule="atLeast" w:line="0"/>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
                <w:sz w:val="21"/>
                <w:szCs w:val="21"/>
                <w:lang w:val="en-US" w:eastAsia="zh-CN"/>
              </w:rPr>
              <w:t>709651562@qq.com</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答疑时间、地点与方式：周二</w:t>
            </w:r>
            <w:r>
              <w:rPr>
                <w:rFonts w:ascii="宋体" w:eastAsia="宋体" w:hAnsi="宋体" w:hint="eastAsia"/>
                <w:b/>
                <w:sz w:val="21"/>
                <w:szCs w:val="21"/>
                <w:lang w:val="en-US" w:eastAsia="zh-CN"/>
              </w:rPr>
              <w:t>1、2、7节，周五5、6节，莞城2-203</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w:t>
            </w:r>
            <w:r>
              <w:rPr>
                <w:rFonts w:ascii="Arial" w:cs="Arial" w:eastAsia="宋体" w:hAnsi="Arial" w:hint="default"/>
                <w:b/>
                <w:sz w:val="21"/>
                <w:szCs w:val="21"/>
                <w:lang w:eastAsia="zh-CN"/>
              </w:rPr>
              <w:t>√</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cs="宋体" w:eastAsia="宋体" w:hAnsi="宋体" w:hint="eastAsia"/>
                <w:b/>
                <w:bCs/>
                <w:sz w:val="21"/>
                <w:szCs w:val="21"/>
                <w:lang w:eastAsia="zh-CN"/>
              </w:rPr>
            </w:pPr>
            <w:r>
              <w:rPr>
                <w:rFonts w:ascii="宋体" w:cs="宋体" w:eastAsia="宋体" w:hAnsi="宋体" w:hint="eastAsia"/>
                <w:b/>
                <w:bCs/>
                <w:sz w:val="21"/>
                <w:szCs w:val="21"/>
                <w:lang w:eastAsia="zh-CN"/>
              </w:rPr>
              <w:t>使用教材：</w:t>
            </w:r>
            <w:r>
              <w:rPr>
                <w:rFonts w:ascii="宋体" w:cs="宋体" w:eastAsia="宋体" w:hAnsi="宋体" w:hint="eastAsia"/>
                <w:sz w:val="21"/>
                <w:szCs w:val="21"/>
              </w:rPr>
              <w:t>刘永泽、陈立军.《中级财务会计》.东北财经大学出版社，201</w:t>
            </w:r>
            <w:r>
              <w:rPr>
                <w:rFonts w:ascii="宋体" w:cs="宋体" w:eastAsia="宋体" w:hAnsi="宋体" w:hint="eastAsia"/>
                <w:sz w:val="21"/>
                <w:szCs w:val="21"/>
                <w:lang w:val="en-US" w:eastAsia="zh-CN"/>
              </w:rPr>
              <w:t>6</w:t>
            </w:r>
            <w:r>
              <w:rPr>
                <w:rFonts w:ascii="宋体" w:cs="宋体" w:eastAsia="宋体" w:hAnsi="宋体" w:hint="eastAsia"/>
                <w:sz w:val="21"/>
                <w:szCs w:val="21"/>
              </w:rPr>
              <w:t>年</w:t>
            </w:r>
            <w:r>
              <w:rPr>
                <w:rFonts w:ascii="宋体" w:cs="宋体" w:eastAsia="宋体" w:hAnsi="宋体" w:hint="eastAsia"/>
                <w:sz w:val="21"/>
                <w:szCs w:val="21"/>
                <w:lang w:val="en-US" w:eastAsia="zh-CN"/>
              </w:rPr>
              <w:t>8</w:t>
            </w:r>
            <w:r>
              <w:rPr>
                <w:rFonts w:ascii="宋体" w:cs="宋体" w:eastAsia="宋体" w:hAnsi="宋体" w:hint="eastAsia"/>
                <w:sz w:val="21"/>
                <w:szCs w:val="21"/>
              </w:rPr>
              <w:t>月第</w:t>
            </w:r>
            <w:r>
              <w:rPr>
                <w:rFonts w:ascii="宋体" w:cs="宋体" w:eastAsia="宋体" w:hAnsi="宋体" w:hint="eastAsia"/>
                <w:sz w:val="21"/>
                <w:szCs w:val="21"/>
                <w:lang w:eastAsia="zh-CN"/>
              </w:rPr>
              <w:t>五</w:t>
            </w:r>
            <w:r>
              <w:rPr>
                <w:rFonts w:ascii="宋体" w:cs="宋体" w:eastAsia="宋体" w:hAnsi="宋体" w:hint="eastAsia"/>
                <w:sz w:val="21"/>
                <w:szCs w:val="21"/>
              </w:rPr>
              <w:t>版</w:t>
            </w:r>
            <w:r>
              <w:rPr>
                <w:rFonts w:ascii="宋体" w:cs="宋体" w:eastAsia="宋体" w:hAnsi="宋体" w:hint="eastAsia"/>
                <w:sz w:val="21"/>
                <w:szCs w:val="21"/>
                <w:lang w:eastAsia="zh-CN"/>
              </w:rPr>
              <w:t>。</w:t>
            </w:r>
          </w:p>
          <w:p>
            <w:pPr>
              <w:pStyle w:val="style0"/>
              <w:tabs>
                <w:tab w:val="left" w:leader="none" w:pos="1440"/>
              </w:tabs>
              <w:spacing w:after="0" w:lineRule="atLeast" w:line="0"/>
              <w:outlineLvl w:val="0"/>
              <w:rPr>
                <w:rFonts w:ascii="宋体" w:cs="宋体" w:eastAsia="宋体" w:hAnsi="宋体" w:hint="eastAsia"/>
                <w:b/>
                <w:bCs/>
                <w:sz w:val="21"/>
                <w:szCs w:val="21"/>
                <w:lang w:eastAsia="zh-CN"/>
              </w:rPr>
            </w:pPr>
            <w:r>
              <w:rPr>
                <w:rFonts w:ascii="宋体" w:cs="宋体" w:eastAsia="宋体" w:hAnsi="宋体" w:hint="eastAsia"/>
                <w:b/>
                <w:bCs/>
                <w:sz w:val="21"/>
                <w:szCs w:val="21"/>
                <w:lang w:eastAsia="zh-CN"/>
              </w:rPr>
              <w:t>教学参考资料：</w:t>
            </w:r>
          </w:p>
          <w:p>
            <w:pPr>
              <w:pStyle w:val="style0"/>
              <w:tabs>
                <w:tab w:val="decimal" w:leader="none" w:pos="540"/>
                <w:tab w:val="decimal" w:leader="none" w:pos="1080"/>
                <w:tab w:val="decimal" w:leader="none" w:pos="5220"/>
              </w:tabs>
              <w:ind w:firstLine="420" w:firstLineChars="200"/>
              <w:rPr>
                <w:rFonts w:ascii="宋体" w:cs="宋体" w:eastAsia="宋体" w:hAnsi="宋体" w:hint="eastAsia"/>
                <w:sz w:val="21"/>
                <w:szCs w:val="21"/>
              </w:rPr>
            </w:pPr>
            <w:r>
              <w:rPr>
                <w:rFonts w:ascii="宋体" w:cs="宋体" w:eastAsia="宋体" w:hAnsi="宋体" w:hint="eastAsia"/>
                <w:sz w:val="21"/>
                <w:szCs w:val="21"/>
              </w:rPr>
              <w:t>1）CPA全国统一考试辅导教材：会计，中国财政经济出版社，201</w:t>
            </w:r>
            <w:r>
              <w:rPr>
                <w:rFonts w:ascii="宋体" w:cs="宋体" w:eastAsia="宋体" w:hAnsi="宋体" w:hint="eastAsia"/>
                <w:sz w:val="21"/>
                <w:szCs w:val="21"/>
                <w:lang w:val="en-US" w:eastAsia="zh-CN"/>
              </w:rPr>
              <w:t>7</w:t>
            </w:r>
            <w:r>
              <w:rPr>
                <w:rFonts w:ascii="宋体" w:cs="宋体" w:eastAsia="宋体" w:hAnsi="宋体" w:hint="eastAsia"/>
                <w:sz w:val="21"/>
                <w:szCs w:val="21"/>
              </w:rPr>
              <w:t>年版.本参考书建议人手一本</w:t>
            </w:r>
            <w:r>
              <w:rPr>
                <w:rFonts w:ascii="宋体" w:cs="宋体" w:eastAsia="宋体" w:hAnsi="宋体" w:hint="eastAsia"/>
                <w:sz w:val="21"/>
                <w:szCs w:val="21"/>
                <w:lang w:eastAsia="zh-CN"/>
              </w:rPr>
              <w:t>。</w:t>
            </w:r>
          </w:p>
          <w:p>
            <w:pPr>
              <w:pStyle w:val="style0"/>
              <w:tabs>
                <w:tab w:val="decimal" w:leader="none" w:pos="540"/>
                <w:tab w:val="decimal" w:leader="none" w:pos="1080"/>
                <w:tab w:val="decimal" w:leader="none" w:pos="5220"/>
              </w:tabs>
              <w:ind w:firstLine="420" w:firstLineChars="200"/>
              <w:rPr>
                <w:rFonts w:ascii="宋体" w:cs="宋体" w:eastAsia="宋体" w:hAnsi="宋体" w:hint="eastAsia"/>
                <w:sz w:val="21"/>
                <w:szCs w:val="21"/>
              </w:rPr>
            </w:pPr>
            <w:r>
              <w:rPr>
                <w:rFonts w:ascii="宋体" w:cs="宋体" w:eastAsia="宋体" w:hAnsi="宋体" w:hint="eastAsia"/>
                <w:sz w:val="21"/>
                <w:szCs w:val="21"/>
              </w:rPr>
              <w:t>2）《企业会计准则——应用指南（2006）》，2006年10月30日财政部发布</w:t>
            </w:r>
            <w:r>
              <w:rPr>
                <w:rFonts w:ascii="宋体" w:cs="宋体" w:eastAsia="宋体" w:hAnsi="宋体" w:hint="eastAsia"/>
                <w:sz w:val="21"/>
                <w:szCs w:val="21"/>
                <w:lang w:eastAsia="zh-CN"/>
              </w:rPr>
              <w:t>。</w:t>
            </w:r>
          </w:p>
          <w:p>
            <w:pPr>
              <w:pStyle w:val="style0"/>
              <w:tabs>
                <w:tab w:val="decimal" w:leader="none" w:pos="540"/>
                <w:tab w:val="decimal" w:leader="none" w:pos="1080"/>
                <w:tab w:val="decimal" w:leader="none" w:pos="5220"/>
              </w:tabs>
              <w:ind w:firstLine="420" w:firstLineChars="200"/>
              <w:rPr>
                <w:rFonts w:ascii="宋体" w:cs="宋体" w:eastAsia="宋体" w:hAnsi="宋体" w:hint="eastAsia"/>
                <w:sz w:val="21"/>
                <w:szCs w:val="21"/>
              </w:rPr>
            </w:pPr>
            <w:r>
              <w:rPr>
                <w:rFonts w:ascii="宋体" w:cs="宋体" w:eastAsia="宋体" w:hAnsi="宋体" w:hint="eastAsia"/>
                <w:sz w:val="21"/>
                <w:szCs w:val="21"/>
              </w:rPr>
              <w:t>3）《企业会计准则——具体准则》，含存货、固定资产、长期股权投资等具体准则</w:t>
            </w:r>
            <w:r>
              <w:rPr>
                <w:rFonts w:ascii="宋体" w:cs="宋体" w:eastAsia="宋体" w:hAnsi="宋体" w:hint="eastAsia"/>
                <w:sz w:val="21"/>
                <w:szCs w:val="21"/>
                <w:lang w:eastAsia="zh-CN"/>
              </w:rPr>
              <w:t>。</w:t>
            </w:r>
          </w:p>
          <w:p>
            <w:pPr>
              <w:pStyle w:val="style0"/>
              <w:tabs>
                <w:tab w:val="decimal" w:leader="none" w:pos="540"/>
                <w:tab w:val="decimal" w:leader="none" w:pos="1080"/>
                <w:tab w:val="decimal" w:leader="none" w:pos="5220"/>
              </w:tabs>
              <w:ind w:firstLine="420" w:firstLineChars="200"/>
              <w:rPr>
                <w:rFonts w:ascii="宋体" w:cs="宋体" w:eastAsia="宋体" w:hAnsi="宋体" w:hint="eastAsia"/>
                <w:sz w:val="21"/>
                <w:szCs w:val="21"/>
              </w:rPr>
            </w:pPr>
            <w:r>
              <w:rPr>
                <w:rFonts w:ascii="宋体" w:cs="宋体" w:eastAsia="宋体" w:hAnsi="宋体" w:hint="eastAsia"/>
                <w:sz w:val="21"/>
                <w:szCs w:val="21"/>
              </w:rPr>
              <w:t>4）《会计研究》、《财务与会计》《财会月刊》、《财会通讯》、《中国财经报》（财会大世界~周刊）等报刊</w:t>
            </w:r>
            <w:r>
              <w:rPr>
                <w:rFonts w:ascii="宋体" w:cs="宋体" w:eastAsia="宋体" w:hAnsi="宋体" w:hint="eastAsia"/>
                <w:sz w:val="21"/>
                <w:szCs w:val="21"/>
                <w:lang w:eastAsia="zh-CN"/>
              </w:rPr>
              <w:t>。</w:t>
            </w:r>
          </w:p>
          <w:p>
            <w:pPr>
              <w:pStyle w:val="style0"/>
              <w:tabs>
                <w:tab w:val="decimal" w:leader="none" w:pos="540"/>
                <w:tab w:val="decimal" w:leader="none" w:pos="1080"/>
                <w:tab w:val="decimal" w:leader="none" w:pos="5220"/>
              </w:tabs>
              <w:ind w:firstLine="420" w:firstLineChars="200"/>
              <w:rPr>
                <w:rFonts w:ascii="宋体" w:eastAsia="宋体" w:hAnsi="宋体" w:hint="eastAsia"/>
                <w:b/>
                <w:bCs/>
                <w:sz w:val="21"/>
                <w:szCs w:val="21"/>
                <w:lang w:eastAsia="zh-CN"/>
              </w:rPr>
            </w:pPr>
            <w:r>
              <w:rPr>
                <w:rFonts w:ascii="宋体" w:cs="宋体" w:eastAsia="宋体" w:hAnsi="宋体" w:hint="eastAsia"/>
                <w:sz w:val="21"/>
                <w:szCs w:val="21"/>
              </w:rPr>
              <w:t>5）中华财会网WWW.e521.com、中国注册会计师协会网、财政部、中国证券监督委员会等网站等</w:t>
            </w:r>
            <w:r>
              <w:rPr>
                <w:rFonts w:ascii="宋体" w:cs="宋体" w:eastAsia="宋体" w:hAnsi="宋体" w:hint="eastAsia"/>
                <w:sz w:val="21"/>
                <w:szCs w:val="21"/>
                <w:lang w:eastAsia="zh-CN"/>
              </w:rPr>
              <w:t>。</w:t>
            </w:r>
          </w:p>
        </w:tc>
      </w:tr>
      <w:tr>
        <w:tblPrEx/>
        <w:trPr>
          <w:trHeight w:val="340" w:hRule="atLeast"/>
          <w:jc w:val="center"/>
        </w:trPr>
        <w:tc>
          <w:tcPr>
            <w:tcW w:w="9401" w:type="dxa"/>
            <w:gridSpan w:val="9"/>
            <w:tcBorders/>
            <w:vAlign w:val="center"/>
          </w:tcPr>
          <w:p>
            <w:pPr>
              <w:pStyle w:val="style0"/>
              <w:tabs>
                <w:tab w:val="left" w:leader="none" w:pos="1440"/>
              </w:tabs>
              <w:spacing w:after="0" w:lineRule="atLeast" w:line="0"/>
              <w:outlineLvl w:val="0"/>
              <w:rPr>
                <w:rFonts w:ascii="宋体" w:eastAsia="宋体" w:hAnsi="宋体" w:hint="eastAsia"/>
                <w:b/>
                <w:sz w:val="21"/>
                <w:szCs w:val="21"/>
                <w:lang w:eastAsia="zh-CN"/>
              </w:rPr>
            </w:pPr>
            <w:r>
              <w:rPr>
                <w:rFonts w:ascii="宋体" w:eastAsia="宋体" w:hAnsi="宋体" w:hint="eastAsia"/>
                <w:b/>
                <w:sz w:val="21"/>
                <w:szCs w:val="21"/>
              </w:rPr>
              <w:t>课程简介</w:t>
            </w:r>
            <w:r>
              <w:rPr>
                <w:rFonts w:ascii="宋体" w:eastAsia="宋体" w:hAnsi="宋体" w:hint="eastAsia"/>
                <w:b/>
                <w:sz w:val="21"/>
                <w:szCs w:val="21"/>
                <w:lang w:eastAsia="zh-CN"/>
              </w:rPr>
              <w:t>：</w:t>
            </w:r>
          </w:p>
          <w:p>
            <w:pPr>
              <w:pStyle w:val="style90"/>
              <w:ind w:firstLine="420" w:firstLineChars="200"/>
              <w:rPr>
                <w:rFonts w:ascii="宋体" w:cs="宋体" w:eastAsia="宋体" w:hAnsi="宋体" w:hint="eastAsia"/>
                <w:sz w:val="21"/>
                <w:szCs w:val="21"/>
              </w:rPr>
            </w:pPr>
            <w:r>
              <w:rPr>
                <w:rFonts w:ascii="宋体" w:cs="宋体" w:eastAsia="宋体" w:hAnsi="宋体" w:hint="eastAsia"/>
                <w:sz w:val="21"/>
                <w:szCs w:val="21"/>
                <w:lang w:eastAsia="zh-CN"/>
              </w:rPr>
              <w:t>本课程</w:t>
            </w:r>
            <w:r>
              <w:rPr>
                <w:rFonts w:ascii="宋体" w:cs="宋体" w:eastAsia="宋体" w:hAnsi="宋体" w:hint="eastAsia"/>
                <w:sz w:val="21"/>
                <w:szCs w:val="21"/>
              </w:rPr>
              <w:t>是会计学专业的专业必修课，先修课程是《会计学原理》，为会计实务处理提供理论基础；后续课程为《高级</w:t>
            </w:r>
            <w:r>
              <w:rPr>
                <w:rFonts w:ascii="宋体" w:cs="宋体" w:eastAsia="宋体" w:hAnsi="宋体" w:hint="eastAsia"/>
                <w:sz w:val="21"/>
                <w:szCs w:val="21"/>
                <w:lang w:eastAsia="zh-CN"/>
              </w:rPr>
              <w:t>财务会计</w:t>
            </w:r>
            <w:r>
              <w:rPr>
                <w:rFonts w:ascii="宋体" w:cs="宋体" w:eastAsia="宋体" w:hAnsi="宋体" w:hint="eastAsia"/>
                <w:sz w:val="21"/>
                <w:szCs w:val="21"/>
              </w:rPr>
              <w:t>》等</w:t>
            </w:r>
            <w:r>
              <w:rPr>
                <w:rFonts w:ascii="宋体" w:cs="宋体" w:eastAsia="宋体" w:hAnsi="宋体" w:hint="eastAsia"/>
                <w:sz w:val="21"/>
                <w:szCs w:val="21"/>
                <w:lang w:eastAsia="zh-CN"/>
              </w:rPr>
              <w:t>。《中级</w:t>
            </w:r>
            <w:r>
              <w:rPr>
                <w:rFonts w:ascii="宋体" w:cs="宋体" w:eastAsia="宋体" w:hAnsi="宋体" w:hint="eastAsia"/>
                <w:sz w:val="21"/>
                <w:szCs w:val="21"/>
              </w:rPr>
              <w:t>会计学（一、二）</w:t>
            </w:r>
            <w:r>
              <w:rPr>
                <w:rFonts w:ascii="宋体" w:cs="宋体" w:eastAsia="宋体" w:hAnsi="宋体" w:hint="eastAsia"/>
                <w:sz w:val="21"/>
                <w:szCs w:val="21"/>
                <w:lang w:eastAsia="zh-CN"/>
              </w:rPr>
              <w:t>》</w:t>
            </w:r>
            <w:r>
              <w:rPr>
                <w:rFonts w:ascii="宋体" w:cs="宋体" w:eastAsia="宋体" w:hAnsi="宋体" w:hint="eastAsia"/>
                <w:sz w:val="21"/>
                <w:szCs w:val="21"/>
              </w:rPr>
              <w:t>属中级财务会计内容，它是是对《会计学原理》中所揭示的基本概念、基本原则和基本方法的具体运用，又是进一步学习《高级财务会计》的前提和基础。</w:t>
            </w:r>
          </w:p>
          <w:p>
            <w:pPr>
              <w:pStyle w:val="style90"/>
              <w:ind w:firstLine="420" w:firstLineChars="200"/>
              <w:rPr>
                <w:rFonts w:ascii="宋体" w:cs="宋体" w:eastAsia="宋体" w:hAnsi="宋体" w:hint="eastAsia"/>
                <w:sz w:val="21"/>
                <w:szCs w:val="21"/>
                <w:lang w:eastAsia="zh-CN"/>
              </w:rPr>
            </w:pPr>
            <w:r>
              <w:rPr>
                <w:rFonts w:ascii="宋体" w:cs="宋体" w:eastAsia="宋体" w:hAnsi="宋体" w:hint="eastAsia"/>
                <w:sz w:val="21"/>
                <w:szCs w:val="21"/>
                <w:lang w:eastAsia="zh-CN"/>
              </w:rPr>
              <w:t>中级财务</w:t>
            </w:r>
            <w:r>
              <w:rPr>
                <w:rFonts w:ascii="宋体" w:cs="宋体" w:eastAsia="宋体" w:hAnsi="宋体" w:hint="eastAsia"/>
                <w:sz w:val="21"/>
                <w:szCs w:val="21"/>
              </w:rPr>
              <w:t>会计</w:t>
            </w:r>
            <w:r>
              <w:rPr>
                <w:rFonts w:ascii="宋体" w:cs="宋体" w:eastAsia="宋体" w:hAnsi="宋体" w:hint="eastAsia"/>
                <w:sz w:val="21"/>
                <w:szCs w:val="21"/>
                <w:lang w:eastAsia="zh-CN"/>
              </w:rPr>
              <w:t>主要是</w:t>
            </w:r>
            <w:r>
              <w:rPr>
                <w:rFonts w:ascii="宋体" w:cs="宋体" w:eastAsia="宋体" w:hAnsi="宋体" w:hint="eastAsia"/>
                <w:sz w:val="21"/>
                <w:szCs w:val="21"/>
              </w:rPr>
              <w:t>在全面认识企业财务会计目标、核算对象、基本业务程序的基础上，对企业会计的六大要素进行确认、计量和记录。</w:t>
            </w:r>
            <w:r>
              <w:rPr>
                <w:rFonts w:ascii="宋体" w:cs="宋体" w:eastAsia="宋体" w:hAnsi="宋体" w:hint="eastAsia"/>
                <w:sz w:val="21"/>
                <w:szCs w:val="21"/>
                <w:lang w:eastAsia="zh-CN"/>
              </w:rPr>
              <w:t>中级财务会计</w:t>
            </w:r>
            <w:r>
              <w:rPr>
                <w:rFonts w:ascii="宋体" w:cs="宋体" w:eastAsia="宋体" w:hAnsi="宋体" w:hint="eastAsia"/>
                <w:sz w:val="21"/>
                <w:szCs w:val="21"/>
              </w:rPr>
              <w:t>的主要内容包括：财务会计的概念框架（或理论体系）和基本方法，以及财务会计要素确认、计量、记录及报告的程序与方法</w:t>
            </w:r>
            <w:r>
              <w:rPr>
                <w:rFonts w:ascii="宋体" w:cs="宋体" w:eastAsia="宋体" w:hAnsi="宋体" w:hint="eastAsia"/>
                <w:sz w:val="21"/>
                <w:szCs w:val="21"/>
                <w:lang w:eastAsia="zh-CN"/>
              </w:rPr>
              <w:t>。</w:t>
            </w:r>
          </w:p>
          <w:p>
            <w:pPr>
              <w:pStyle w:val="style0"/>
              <w:tabs>
                <w:tab w:val="decimal" w:leader="none" w:pos="540"/>
                <w:tab w:val="decimal" w:leader="none" w:pos="1080"/>
                <w:tab w:val="decimal" w:leader="none" w:pos="5220"/>
              </w:tabs>
              <w:ind w:firstLine="420" w:firstLineChars="200"/>
              <w:rPr>
                <w:rFonts w:ascii="宋体" w:eastAsia="宋体" w:hAnsi="宋体"/>
                <w:b/>
                <w:sz w:val="21"/>
                <w:szCs w:val="21"/>
              </w:rPr>
            </w:pPr>
            <w:r>
              <w:rPr>
                <w:rFonts w:ascii="宋体" w:cs="宋体" w:eastAsia="宋体" w:hAnsi="宋体" w:hint="eastAsia"/>
                <w:sz w:val="21"/>
                <w:szCs w:val="21"/>
                <w:lang w:eastAsia="zh-CN"/>
              </w:rPr>
              <w:t>由于</w:t>
            </w:r>
            <w:r>
              <w:rPr>
                <w:rFonts w:ascii="宋体" w:cs="宋体" w:eastAsia="宋体" w:hAnsi="宋体" w:hint="eastAsia"/>
                <w:sz w:val="21"/>
                <w:szCs w:val="21"/>
              </w:rPr>
              <w:t>中级财务会计内容</w:t>
            </w:r>
            <w:r>
              <w:rPr>
                <w:rFonts w:ascii="宋体" w:cs="宋体" w:eastAsia="宋体" w:hAnsi="宋体" w:hint="eastAsia"/>
                <w:sz w:val="21"/>
                <w:szCs w:val="21"/>
                <w:lang w:eastAsia="zh-CN"/>
              </w:rPr>
              <w:t>多，所以分两个学期讲授。</w:t>
            </w:r>
            <w:r>
              <w:rPr>
                <w:rFonts w:ascii="宋体" w:cs="宋体" w:eastAsia="宋体" w:hAnsi="宋体" w:hint="eastAsia"/>
                <w:sz w:val="21"/>
                <w:szCs w:val="21"/>
              </w:rPr>
              <w:t>本课程</w:t>
            </w:r>
            <w:r>
              <w:rPr>
                <w:rFonts w:ascii="宋体" w:cs="宋体" w:eastAsia="宋体" w:hAnsi="宋体" w:hint="eastAsia"/>
                <w:sz w:val="21"/>
                <w:szCs w:val="21"/>
                <w:lang w:eastAsia="zh-CN"/>
              </w:rPr>
              <w:t>《中级会计学（一）》</w:t>
            </w:r>
            <w:r>
              <w:rPr>
                <w:rFonts w:ascii="宋体" w:cs="宋体" w:eastAsia="宋体" w:hAnsi="宋体" w:hint="eastAsia"/>
                <w:sz w:val="21"/>
                <w:szCs w:val="21"/>
              </w:rPr>
              <w:t>主要包括：货币资金、金融资产、存货、长期股权投资、固定资产、无形资产、</w:t>
            </w:r>
            <w:r>
              <w:rPr>
                <w:rFonts w:ascii="宋体" w:cs="宋体" w:eastAsia="宋体" w:hAnsi="宋体" w:hint="eastAsia"/>
                <w:sz w:val="21"/>
                <w:szCs w:val="21"/>
                <w:lang w:eastAsia="zh-CN"/>
              </w:rPr>
              <w:t>投资性房地产</w:t>
            </w:r>
            <w:r>
              <w:rPr>
                <w:rFonts w:ascii="宋体" w:cs="宋体" w:eastAsia="宋体" w:hAnsi="宋体" w:hint="eastAsia"/>
                <w:sz w:val="21"/>
                <w:szCs w:val="21"/>
              </w:rPr>
              <w:t>等内容。本课程的目标在于使学生掌握企业主要</w:t>
            </w:r>
            <w:r>
              <w:rPr>
                <w:rFonts w:ascii="宋体" w:cs="宋体" w:eastAsia="宋体" w:hAnsi="宋体" w:hint="eastAsia"/>
                <w:sz w:val="21"/>
                <w:szCs w:val="21"/>
                <w:lang w:eastAsia="zh-CN"/>
              </w:rPr>
              <w:t>资产</w:t>
            </w:r>
            <w:r>
              <w:rPr>
                <w:rFonts w:ascii="宋体" w:cs="宋体" w:eastAsia="宋体" w:hAnsi="宋体" w:hint="eastAsia"/>
                <w:sz w:val="21"/>
                <w:szCs w:val="21"/>
              </w:rPr>
              <w:t>业务的确认、计量等会计处理，</w:t>
            </w:r>
            <w:r>
              <w:rPr>
                <w:rFonts w:ascii="宋体" w:cs="宋体" w:eastAsia="宋体" w:hAnsi="宋体" w:hint="eastAsia"/>
                <w:sz w:val="21"/>
                <w:szCs w:val="21"/>
                <w:lang w:eastAsia="zh-CN"/>
              </w:rPr>
              <w:t>为</w:t>
            </w:r>
            <w:r>
              <w:rPr>
                <w:rFonts w:ascii="宋体" w:cs="宋体" w:eastAsia="宋体" w:hAnsi="宋体" w:hint="eastAsia"/>
                <w:sz w:val="21"/>
                <w:szCs w:val="21"/>
              </w:rPr>
              <w:t>深入学习《中级会计学（二）》、《高级财务会计》、《成本与管理会计》和《会计电算化》等本专业其他专业课打下扎实基础，能合理进行会计职业判断</w:t>
            </w:r>
            <w:r>
              <w:rPr>
                <w:rFonts w:ascii="宋体" w:cs="宋体" w:eastAsia="宋体" w:hAnsi="宋体" w:hint="eastAsia"/>
                <w:sz w:val="21"/>
                <w:szCs w:val="21"/>
                <w:lang w:eastAsia="zh-CN"/>
              </w:rPr>
              <w:t>，</w:t>
            </w:r>
            <w:r>
              <w:rPr>
                <w:rFonts w:ascii="宋体" w:cs="宋体" w:eastAsia="宋体" w:hAnsi="宋体" w:hint="eastAsia"/>
                <w:sz w:val="21"/>
                <w:szCs w:val="21"/>
              </w:rPr>
              <w:t>让学生打下深厚的财务会计理论经功底，具备解决</w:t>
            </w:r>
            <w:r>
              <w:rPr>
                <w:rFonts w:ascii="宋体" w:cs="宋体" w:eastAsia="宋体" w:hAnsi="宋体" w:hint="eastAsia"/>
                <w:sz w:val="21"/>
                <w:szCs w:val="21"/>
                <w:lang w:eastAsia="zh-CN"/>
              </w:rPr>
              <w:t>财经</w:t>
            </w:r>
            <w:r>
              <w:rPr>
                <w:rFonts w:ascii="宋体" w:cs="宋体" w:eastAsia="宋体" w:hAnsi="宋体" w:hint="eastAsia"/>
                <w:sz w:val="21"/>
                <w:szCs w:val="21"/>
              </w:rPr>
              <w:t>实务工作的能力</w:t>
            </w:r>
            <w:r>
              <w:rPr>
                <w:rFonts w:ascii="宋体" w:cs="宋体" w:eastAsia="宋体" w:hAnsi="宋体" w:hint="eastAsia"/>
                <w:sz w:val="21"/>
                <w:szCs w:val="21"/>
                <w:lang w:eastAsia="zh-CN"/>
              </w:rPr>
              <w:t>及</w:t>
            </w:r>
            <w:r>
              <w:rPr>
                <w:rFonts w:ascii="宋体" w:cs="宋体" w:eastAsia="宋体" w:hAnsi="宋体" w:hint="eastAsia"/>
                <w:sz w:val="21"/>
                <w:szCs w:val="21"/>
              </w:rPr>
              <w:t>水平。</w:t>
            </w:r>
          </w:p>
        </w:tc>
      </w:tr>
      <w:tr>
        <w:tblPrEx/>
        <w:trPr>
          <w:trHeight w:val="2920" w:hRule="atLeast"/>
          <w:jc w:val="center"/>
        </w:trPr>
        <w:tc>
          <w:tcPr>
            <w:tcW w:w="9401" w:type="dxa"/>
            <w:gridSpan w:val="9"/>
            <w:tcBorders/>
          </w:tcPr>
          <w:p>
            <w:pPr>
              <w:pStyle w:val="style0"/>
              <w:tabs>
                <w:tab w:val="left" w:leader="none" w:pos="1440"/>
              </w:tabs>
              <w:spacing w:after="0" w:lineRule="atLeast" w:line="0"/>
              <w:ind w:firstLine="422" w:firstLineChars="20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pPr>
              <w:pStyle w:val="style0"/>
              <w:tabs>
                <w:tab w:val="decimal" w:leader="none" w:pos="540"/>
                <w:tab w:val="decimal" w:leader="none" w:pos="1080"/>
                <w:tab w:val="decimal" w:leader="none" w:pos="5220"/>
              </w:tabs>
              <w:ind w:firstLine="422" w:firstLineChars="200"/>
              <w:rPr>
                <w:rFonts w:ascii="宋体" w:cs="宋体" w:eastAsia="宋体" w:hAnsi="宋体" w:hint="eastAsia"/>
                <w:sz w:val="21"/>
                <w:szCs w:val="21"/>
              </w:rPr>
            </w:pPr>
            <w:r>
              <w:rPr>
                <w:rFonts w:ascii="宋体" w:cs="宋体" w:eastAsia="宋体" w:hAnsi="宋体" w:hint="eastAsia"/>
                <w:b/>
                <w:sz w:val="21"/>
                <w:szCs w:val="21"/>
                <w:lang w:eastAsia="zh-CN"/>
              </w:rPr>
              <w:t>1.知识与技能目标：</w:t>
            </w:r>
            <w:r>
              <w:rPr>
                <w:rFonts w:ascii="宋体" w:cs="宋体" w:eastAsia="宋体" w:hAnsi="宋体" w:hint="eastAsia"/>
                <w:sz w:val="21"/>
                <w:szCs w:val="21"/>
              </w:rPr>
              <w:t>学习本课程要达到的目标：在知识方面，学生应掌握财务会计概念框架的基本内容及相互联系，比较熟悉现行企业会计准则的基本规范，对一般</w:t>
            </w:r>
            <w:r>
              <w:rPr>
                <w:rFonts w:ascii="宋体" w:cs="宋体" w:eastAsia="宋体" w:hAnsi="宋体" w:hint="eastAsia"/>
                <w:sz w:val="21"/>
                <w:szCs w:val="21"/>
                <w:lang w:eastAsia="zh-CN"/>
              </w:rPr>
              <w:t>资产</w:t>
            </w:r>
            <w:r>
              <w:rPr>
                <w:rFonts w:ascii="宋体" w:cs="宋体" w:eastAsia="宋体" w:hAnsi="宋体" w:hint="eastAsia"/>
                <w:sz w:val="21"/>
                <w:szCs w:val="21"/>
              </w:rPr>
              <w:t>业务确认、计量、记录及报告</w:t>
            </w:r>
            <w:r>
              <w:rPr>
                <w:rFonts w:ascii="宋体" w:cs="宋体" w:eastAsia="宋体" w:hAnsi="宋体" w:hint="eastAsia"/>
                <w:sz w:val="21"/>
                <w:szCs w:val="21"/>
                <w:lang w:eastAsia="zh-CN"/>
              </w:rPr>
              <w:t>的</w:t>
            </w:r>
            <w:r>
              <w:rPr>
                <w:rFonts w:ascii="宋体" w:cs="宋体" w:eastAsia="宋体" w:hAnsi="宋体" w:hint="eastAsia"/>
                <w:sz w:val="21"/>
                <w:szCs w:val="21"/>
              </w:rPr>
              <w:t>会计处理较熟练，为学习《中级会计学（二）》、《高级财务会计》打下</w:t>
            </w:r>
            <w:r>
              <w:rPr>
                <w:rFonts w:ascii="宋体" w:cs="宋体" w:eastAsia="宋体" w:hAnsi="宋体" w:hint="eastAsia"/>
                <w:sz w:val="21"/>
                <w:szCs w:val="21"/>
                <w:lang w:eastAsia="zh-CN"/>
              </w:rPr>
              <w:t>良好</w:t>
            </w:r>
            <w:r>
              <w:rPr>
                <w:rFonts w:ascii="宋体" w:cs="宋体" w:eastAsia="宋体" w:hAnsi="宋体" w:hint="eastAsia"/>
                <w:sz w:val="21"/>
                <w:szCs w:val="21"/>
              </w:rPr>
              <w:t>基础；在技术方面，熟练掌握各项基本经济业务的会计处理程序和方</w:t>
            </w:r>
            <w:r>
              <w:rPr>
                <w:rFonts w:ascii="宋体" w:cs="宋体" w:eastAsia="宋体" w:hAnsi="宋体" w:hint="eastAsia"/>
                <w:sz w:val="21"/>
                <w:szCs w:val="21"/>
                <w:lang w:eastAsia="zh-CN"/>
              </w:rPr>
              <w:t>法，</w:t>
            </w:r>
            <w:r>
              <w:rPr>
                <w:rFonts w:ascii="宋体" w:cs="宋体" w:eastAsia="宋体" w:hAnsi="宋体" w:hint="eastAsia"/>
                <w:sz w:val="21"/>
                <w:szCs w:val="21"/>
              </w:rPr>
              <w:t>比较熟练解决企业</w:t>
            </w:r>
            <w:r>
              <w:rPr>
                <w:rFonts w:ascii="宋体" w:cs="宋体" w:eastAsia="宋体" w:hAnsi="宋体" w:hint="eastAsia"/>
                <w:sz w:val="21"/>
                <w:szCs w:val="21"/>
                <w:lang w:eastAsia="zh-CN"/>
              </w:rPr>
              <w:t>资产方面的</w:t>
            </w:r>
            <w:r>
              <w:rPr>
                <w:rFonts w:ascii="宋体" w:cs="宋体" w:eastAsia="宋体" w:hAnsi="宋体" w:hint="eastAsia"/>
                <w:sz w:val="21"/>
                <w:szCs w:val="21"/>
              </w:rPr>
              <w:t>会计实务问题；在能力方面，掌握</w:t>
            </w:r>
            <w:r>
              <w:rPr>
                <w:rFonts w:ascii="宋体" w:cs="宋体" w:eastAsia="宋体" w:hAnsi="宋体" w:hint="eastAsia"/>
                <w:sz w:val="21"/>
                <w:szCs w:val="21"/>
                <w:lang w:eastAsia="zh-CN"/>
              </w:rPr>
              <w:t>主要资产业务的</w:t>
            </w:r>
            <w:r>
              <w:rPr>
                <w:rFonts w:ascii="宋体" w:cs="宋体" w:eastAsia="宋体" w:hAnsi="宋体" w:hint="eastAsia"/>
                <w:sz w:val="21"/>
                <w:szCs w:val="21"/>
              </w:rPr>
              <w:t>记账凭证编制、企业财务会计报告编制的基本技能，</w:t>
            </w:r>
            <w:r>
              <w:rPr>
                <w:rFonts w:ascii="宋体" w:cs="宋体" w:eastAsia="宋体" w:hAnsi="宋体" w:hint="eastAsia"/>
                <w:sz w:val="21"/>
                <w:szCs w:val="21"/>
                <w:lang w:eastAsia="zh-CN"/>
              </w:rPr>
              <w:t>与后面</w:t>
            </w:r>
            <w:r>
              <w:rPr>
                <w:rFonts w:ascii="宋体" w:cs="宋体" w:eastAsia="宋体" w:hAnsi="宋体" w:hint="eastAsia"/>
                <w:sz w:val="21"/>
                <w:szCs w:val="21"/>
              </w:rPr>
              <w:t>《中级会计学（二）》</w:t>
            </w:r>
            <w:r>
              <w:rPr>
                <w:rFonts w:ascii="宋体" w:cs="宋体" w:eastAsia="宋体" w:hAnsi="宋体" w:hint="eastAsia"/>
                <w:sz w:val="21"/>
                <w:szCs w:val="21"/>
                <w:lang w:eastAsia="zh-CN"/>
              </w:rPr>
              <w:t>学习完后</w:t>
            </w:r>
            <w:r>
              <w:rPr>
                <w:rFonts w:ascii="宋体" w:cs="宋体" w:eastAsia="宋体" w:hAnsi="宋体" w:hint="eastAsia"/>
                <w:sz w:val="21"/>
                <w:szCs w:val="21"/>
              </w:rPr>
              <w:t>具备初级会计师的会计处理能力。</w:t>
            </w:r>
          </w:p>
          <w:p>
            <w:pPr>
              <w:pStyle w:val="style0"/>
              <w:tabs>
                <w:tab w:val="left" w:leader="none" w:pos="1440"/>
              </w:tabs>
              <w:ind w:firstLine="422" w:firstLineChars="200"/>
              <w:outlineLvl w:val="0"/>
              <w:rPr>
                <w:rFonts w:ascii="宋体" w:cs="宋体" w:eastAsia="宋体" w:hAnsi="宋体" w:hint="eastAsia"/>
                <w:sz w:val="21"/>
                <w:szCs w:val="21"/>
              </w:rPr>
            </w:pPr>
            <w:r>
              <w:rPr>
                <w:rFonts w:ascii="宋体" w:cs="宋体" w:eastAsia="宋体" w:hAnsi="宋体" w:hint="eastAsia"/>
                <w:b/>
                <w:sz w:val="21"/>
                <w:szCs w:val="21"/>
              </w:rPr>
              <w:t>2.过程与方法目标：</w:t>
            </w:r>
            <w:r>
              <w:rPr>
                <w:rFonts w:ascii="宋体" w:cs="宋体" w:eastAsia="宋体" w:hAnsi="宋体" w:hint="eastAsia"/>
                <w:sz w:val="21"/>
                <w:szCs w:val="21"/>
              </w:rPr>
              <w:t>学生在掌握会计学原理的基础上，力求使学生了解财务会计的基本理论、基本知识和基本方法。理解学习财务会计理论、方法和财务会计实务操作紧密结合的方法，参考相关书籍和期刊，打开眼界，扩大知识面，要知道业务处理的理论和原因。学生在学习理论和方法的同时要掌握这些会计准则、制度在实务中的应用，掌握正确分析和解决有关问题的方法，学会理解和应用会计处理规范。</w:t>
            </w:r>
          </w:p>
          <w:p>
            <w:pPr>
              <w:pStyle w:val="style0"/>
              <w:tabs>
                <w:tab w:val="left" w:leader="none" w:pos="1440"/>
              </w:tabs>
              <w:ind w:firstLine="422" w:firstLineChars="200"/>
              <w:outlineLvl w:val="0"/>
              <w:rPr>
                <w:rFonts w:ascii="宋体" w:eastAsia="宋体" w:hAnsi="宋体"/>
                <w:b/>
                <w:sz w:val="21"/>
                <w:szCs w:val="21"/>
                <w:lang w:eastAsia="zh-CN"/>
              </w:rPr>
            </w:pPr>
            <w:r>
              <w:rPr>
                <w:rFonts w:ascii="宋体" w:cs="宋体" w:eastAsia="宋体" w:hAnsi="宋体" w:hint="eastAsia"/>
                <w:b/>
                <w:sz w:val="21"/>
                <w:szCs w:val="21"/>
              </w:rPr>
              <w:t>3.情感、态度与价值观发展目标：</w:t>
            </w:r>
            <w:r>
              <w:rPr>
                <w:rFonts w:ascii="宋体" w:cs="宋体" w:eastAsia="宋体" w:hAnsi="宋体" w:hint="eastAsia"/>
                <w:sz w:val="21"/>
                <w:szCs w:val="21"/>
              </w:rPr>
              <w:t>会计既涉及企业微观因素，也涉及财政等宏观因素。本课程教学既要培养学生恪守准则、严守职业道德的价值观，也要培养学生根据企业实际情况采用合理会计处理方法的实事求是态度和职业判断精神，还要培养学生逐步理解会计是一种利益分配的工具，理解我国甚至是其它国家、地区制定会计准则的利益导向，维护国家利益，从而合理使用会计处理方法及预测会计准则发展变化。</w:t>
            </w:r>
            <w:r>
              <w:rPr>
                <w:rStyle w:val="style4102"/>
                <w:rFonts w:ascii="宋体" w:cs="宋体" w:eastAsia="宋体" w:hAnsi="宋体" w:hint="eastAsia"/>
                <w:b w:val="false"/>
                <w:sz w:val="21"/>
                <w:szCs w:val="21"/>
              </w:rPr>
              <w:t>培养学生专业的会计职业观念，遵守会计职业道德：爱岗敬业，诚实守信，廉洁自律，客观公正，坚持准则，提高技能，参与管理，强化服务。</w:t>
            </w:r>
          </w:p>
        </w:tc>
      </w:tr>
      <w:tr>
        <w:tblPrEx/>
        <w:trPr>
          <w:trHeight w:val="340" w:hRule="atLeast"/>
          <w:jc w:val="center"/>
        </w:trPr>
        <w:tc>
          <w:tcPr>
            <w:tcW w:w="9401" w:type="dxa"/>
            <w:gridSpan w:val="9"/>
            <w:tcBorders/>
            <w:shd w:val="clear" w:color="auto" w:fill="c0c0c0"/>
            <w:vAlign w:val="center"/>
          </w:tcPr>
          <w:p>
            <w:pPr>
              <w:pStyle w:val="style0"/>
              <w:tabs>
                <w:tab w:val="left" w:leader="none" w:pos="1440"/>
              </w:tabs>
              <w:spacing w:after="0" w:lineRule="atLeast" w:line="0"/>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tblPrEx/>
        <w:trPr>
          <w:trHeight w:val="340" w:hRule="atLeast"/>
          <w:jc w:val="center"/>
        </w:trPr>
        <w:tc>
          <w:tcPr>
            <w:tcW w:w="648" w:type="dxa"/>
            <w:tcBorders/>
            <w:tcMar>
              <w:left w:w="28" w:type="dxa"/>
              <w:right w:w="28" w:type="dxa"/>
            </w:tcMar>
            <w:vAlign w:val="center"/>
          </w:tcPr>
          <w:p>
            <w:pPr>
              <w:pStyle w:val="style0"/>
              <w:spacing w:after="0" w:lineRule="atLeast" w:line="0"/>
              <w:jc w:val="center"/>
              <w:rPr>
                <w:rFonts w:ascii="宋体" w:eastAsia="宋体" w:hAnsi="宋体"/>
                <w:b/>
                <w:sz w:val="21"/>
                <w:szCs w:val="21"/>
              </w:rPr>
            </w:pPr>
            <w:r>
              <w:rPr>
                <w:rFonts w:ascii="宋体" w:eastAsia="宋体" w:hAnsi="宋体" w:hint="eastAsia"/>
                <w:b/>
                <w:sz w:val="21"/>
                <w:szCs w:val="21"/>
              </w:rPr>
              <w:t>周次</w:t>
            </w:r>
          </w:p>
        </w:tc>
        <w:tc>
          <w:tcPr>
            <w:tcW w:w="1237" w:type="dxa"/>
            <w:tcBorders/>
            <w:tcMar>
              <w:left w:w="28" w:type="dxa"/>
              <w:right w:w="28" w:type="dxa"/>
            </w:tcMar>
            <w:vAlign w:val="center"/>
          </w:tcPr>
          <w:p>
            <w:pPr>
              <w:pStyle w:val="style0"/>
              <w:spacing w:after="0" w:lineRule="atLeast" w:line="0"/>
              <w:jc w:val="center"/>
              <w:rPr>
                <w:rFonts w:ascii="宋体" w:eastAsia="宋体" w:hAnsi="宋体"/>
                <w:b/>
                <w:sz w:val="21"/>
                <w:szCs w:val="21"/>
              </w:rPr>
            </w:pPr>
            <w:r>
              <w:rPr>
                <w:rFonts w:ascii="宋体" w:eastAsia="宋体" w:hAnsi="宋体" w:hint="eastAsia"/>
                <w:b/>
                <w:sz w:val="21"/>
                <w:szCs w:val="21"/>
              </w:rPr>
              <w:t>教学主题</w:t>
            </w:r>
          </w:p>
        </w:tc>
        <w:tc>
          <w:tcPr>
            <w:tcW w:w="628" w:type="dxa"/>
            <w:gridSpan w:val="2"/>
            <w:tcBorders/>
            <w:tcMar>
              <w:left w:w="28" w:type="dxa"/>
              <w:right w:w="28" w:type="dxa"/>
            </w:tcMar>
            <w:vAlign w:val="center"/>
          </w:tcPr>
          <w:p>
            <w:pPr>
              <w:pStyle w:val="style0"/>
              <w:spacing w:after="0" w:lineRule="atLeast" w:line="0"/>
              <w:jc w:val="center"/>
              <w:rPr>
                <w:rFonts w:ascii="宋体" w:eastAsia="宋体" w:hAnsi="宋体"/>
                <w:b/>
                <w:sz w:val="21"/>
                <w:szCs w:val="21"/>
              </w:rPr>
            </w:pPr>
            <w:r>
              <w:rPr>
                <w:rFonts w:ascii="宋体" w:eastAsia="宋体" w:hAnsi="宋体" w:hint="eastAsia"/>
                <w:b/>
                <w:sz w:val="21"/>
                <w:szCs w:val="21"/>
              </w:rPr>
              <w:t>教学时长</w:t>
            </w:r>
          </w:p>
        </w:tc>
        <w:tc>
          <w:tcPr>
            <w:tcW w:w="4841" w:type="dxa"/>
            <w:gridSpan w:val="2"/>
            <w:tcBorders/>
            <w:tcMar>
              <w:left w:w="28" w:type="dxa"/>
              <w:right w:w="28" w:type="dxa"/>
            </w:tcMar>
            <w:vAlign w:val="center"/>
          </w:tcPr>
          <w:p>
            <w:pPr>
              <w:pStyle w:val="style0"/>
              <w:spacing w:after="0" w:lineRule="atLeast" w:line="0"/>
              <w:jc w:val="center"/>
              <w:rPr>
                <w:rFonts w:ascii="宋体" w:eastAsia="宋体" w:hAnsi="宋体"/>
                <w:b/>
                <w:sz w:val="21"/>
                <w:szCs w:val="21"/>
              </w:rPr>
            </w:pPr>
            <w:r>
              <w:rPr>
                <w:rFonts w:ascii="宋体" w:eastAsia="宋体" w:hAnsi="宋体" w:hint="eastAsia"/>
                <w:b/>
                <w:sz w:val="21"/>
                <w:szCs w:val="21"/>
              </w:rPr>
              <w:t>教学的重点与难点</w:t>
            </w:r>
          </w:p>
        </w:tc>
        <w:tc>
          <w:tcPr>
            <w:tcW w:w="954" w:type="dxa"/>
            <w:gridSpan w:val="2"/>
            <w:tcBorders/>
            <w:tcMar>
              <w:left w:w="28" w:type="dxa"/>
              <w:right w:w="28" w:type="dxa"/>
            </w:tcMar>
            <w:vAlign w:val="center"/>
          </w:tcPr>
          <w:p>
            <w:pPr>
              <w:pStyle w:val="style0"/>
              <w:spacing w:after="0" w:lineRule="atLeast" w:line="0"/>
              <w:jc w:val="center"/>
              <w:rPr>
                <w:rFonts w:ascii="宋体" w:eastAsia="宋体" w:hAnsi="宋体"/>
                <w:b/>
                <w:sz w:val="21"/>
                <w:szCs w:val="21"/>
              </w:rPr>
            </w:pPr>
            <w:r>
              <w:rPr>
                <w:rFonts w:ascii="宋体" w:eastAsia="宋体" w:hAnsi="宋体" w:hint="eastAsia"/>
                <w:b/>
                <w:sz w:val="21"/>
                <w:szCs w:val="21"/>
              </w:rPr>
              <w:t>教学方式</w:t>
            </w:r>
          </w:p>
        </w:tc>
        <w:tc>
          <w:tcPr>
            <w:tcW w:w="1093" w:type="dxa"/>
            <w:tcBorders/>
            <w:tcMar>
              <w:left w:w="28" w:type="dxa"/>
              <w:right w:w="28" w:type="dxa"/>
            </w:tcMar>
            <w:vAlign w:val="center"/>
          </w:tcPr>
          <w:p>
            <w:pPr>
              <w:pStyle w:val="style0"/>
              <w:spacing w:after="0" w:lineRule="atLeast" w:line="0"/>
              <w:jc w:val="center"/>
              <w:rPr>
                <w:rFonts w:ascii="宋体" w:eastAsia="宋体" w:hAnsi="宋体"/>
                <w:b/>
                <w:sz w:val="21"/>
                <w:szCs w:val="21"/>
              </w:rPr>
            </w:pPr>
            <w:r>
              <w:rPr>
                <w:rFonts w:ascii="宋体" w:eastAsia="宋体" w:hAnsi="宋体" w:hint="eastAsia"/>
                <w:b/>
                <w:sz w:val="21"/>
                <w:szCs w:val="21"/>
              </w:rPr>
              <w:t>作业安排</w:t>
            </w:r>
          </w:p>
        </w:tc>
      </w:tr>
      <w:tr>
        <w:tblPrEx/>
        <w:trPr>
          <w:trHeight w:val="1410" w:hRule="atLeast"/>
          <w:jc w:val="center"/>
        </w:trPr>
        <w:tc>
          <w:tcPr>
            <w:tcW w:w="648" w:type="dxa"/>
            <w:tcBorders/>
            <w:vAlign w:val="center"/>
          </w:tcPr>
          <w:p>
            <w:pPr>
              <w:pStyle w:val="style0"/>
              <w:jc w:val="center"/>
              <w:rPr>
                <w:rFonts w:ascii="宋体" w:eastAsia="宋体" w:hAnsi="宋体"/>
                <w:sz w:val="21"/>
                <w:szCs w:val="21"/>
              </w:rPr>
            </w:pPr>
            <w:r>
              <w:rPr>
                <w:rFonts w:ascii="宋体" w:hAnsi="宋体" w:hint="eastAsia"/>
                <w:szCs w:val="21"/>
              </w:rPr>
              <w:t>1</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财务会计总论</w:t>
            </w:r>
            <w:r>
              <w:rPr>
                <w:rFonts w:ascii="宋体" w:cs="宋体" w:eastAsia="宋体" w:hAnsi="宋体" w:hint="eastAsia"/>
                <w:sz w:val="21"/>
                <w:szCs w:val="21"/>
                <w:lang w:eastAsia="zh-CN"/>
              </w:rPr>
              <w:t>、</w:t>
            </w:r>
            <w:r>
              <w:rPr>
                <w:rFonts w:ascii="宋体" w:cs="宋体" w:eastAsia="宋体" w:hAnsi="宋体" w:hint="eastAsia"/>
                <w:sz w:val="21"/>
                <w:szCs w:val="21"/>
              </w:rPr>
              <w:t>货币资金核算</w:t>
            </w:r>
          </w:p>
        </w:tc>
        <w:tc>
          <w:tcPr>
            <w:tcW w:w="628" w:type="dxa"/>
            <w:gridSpan w:val="2"/>
            <w:tcBorders/>
            <w:vAlign w:val="center"/>
          </w:tcPr>
          <w:p>
            <w:pPr>
              <w:pStyle w:val="style0"/>
              <w:jc w:val="center"/>
              <w:rPr>
                <w:rFonts w:ascii="宋体" w:cs="宋体" w:eastAsia="宋体" w:hAnsi="宋体" w:hint="eastAsia"/>
                <w:sz w:val="21"/>
                <w:szCs w:val="21"/>
                <w:lang w:eastAsia="zh-CN"/>
              </w:rPr>
            </w:pPr>
            <w:r>
              <w:rPr>
                <w:rFonts w:ascii="宋体" w:cs="宋体" w:eastAsia="宋体" w:hAnsi="宋体" w:hint="eastAsia"/>
                <w:sz w:val="21"/>
                <w:szCs w:val="21"/>
                <w:lang w:val="en-US" w:eastAsia="zh-CN"/>
              </w:rPr>
              <w:t>4</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点：复习会计学原理核心内容，理解会计确认与计量</w:t>
            </w:r>
            <w:r>
              <w:rPr>
                <w:rFonts w:ascii="宋体" w:cs="宋体" w:eastAsia="宋体" w:hAnsi="宋体" w:hint="eastAsia"/>
                <w:sz w:val="21"/>
                <w:szCs w:val="21"/>
                <w:lang w:eastAsia="zh-CN"/>
              </w:rPr>
              <w:t>；</w:t>
            </w:r>
            <w:r>
              <w:rPr>
                <w:rFonts w:ascii="宋体" w:cs="宋体" w:eastAsia="宋体" w:hAnsi="宋体" w:hint="eastAsia"/>
                <w:sz w:val="21"/>
                <w:szCs w:val="21"/>
              </w:rPr>
              <w:t>现金及银行存款管理与核算</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难点</w:t>
            </w:r>
            <w:r>
              <w:rPr>
                <w:rFonts w:ascii="宋体" w:cs="宋体" w:eastAsia="宋体" w:hAnsi="宋体" w:hint="eastAsia"/>
                <w:sz w:val="21"/>
                <w:szCs w:val="21"/>
              </w:rPr>
              <w:t>：备用金的核算、银行存款的清查、银行转账结算</w:t>
            </w:r>
          </w:p>
        </w:tc>
        <w:tc>
          <w:tcPr>
            <w:tcW w:w="954" w:type="dxa"/>
            <w:gridSpan w:val="2"/>
            <w:tcBorders/>
            <w:vAlign w:val="center"/>
          </w:tcPr>
          <w:p>
            <w:pPr>
              <w:pStyle w:val="style0"/>
              <w:spacing w:after="0" w:lineRule="atLeast" w:line="0"/>
              <w:rPr>
                <w:rFonts w:ascii="宋体" w:cs="宋体" w:eastAsia="宋体" w:hAnsi="宋体" w:hint="eastAsia"/>
                <w:sz w:val="21"/>
                <w:szCs w:val="21"/>
                <w:lang w:eastAsia="zh-CN"/>
              </w:rPr>
            </w:pPr>
            <w:r>
              <w:rPr>
                <w:rFonts w:ascii="宋体" w:cs="宋体" w:eastAsia="宋体" w:hAnsi="宋体" w:hint="eastAsia"/>
                <w:sz w:val="21"/>
                <w:szCs w:val="21"/>
                <w:lang w:eastAsia="zh-CN"/>
              </w:rPr>
              <w:t>课堂讲授</w:t>
            </w:r>
          </w:p>
        </w:tc>
        <w:tc>
          <w:tcPr>
            <w:tcW w:w="1093" w:type="dxa"/>
            <w:tcBorders/>
            <w:vAlign w:val="center"/>
          </w:tcPr>
          <w:p>
            <w:pPr>
              <w:pStyle w:val="style0"/>
              <w:spacing w:after="0" w:lineRule="atLeast" w:line="0"/>
              <w:rPr>
                <w:rFonts w:ascii="宋体" w:cs="宋体" w:eastAsia="宋体" w:hAnsi="宋体" w:hint="eastAsia"/>
                <w:sz w:val="21"/>
                <w:szCs w:val="21"/>
                <w:lang w:eastAsia="zh-CN"/>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P16练习题</w:t>
            </w:r>
          </w:p>
        </w:tc>
      </w:tr>
      <w:tr>
        <w:tblPrEx/>
        <w:trPr>
          <w:trHeight w:val="340" w:hRule="atLeast"/>
          <w:jc w:val="center"/>
        </w:trPr>
        <w:tc>
          <w:tcPr>
            <w:tcW w:w="648" w:type="dxa"/>
            <w:tcBorders/>
            <w:vAlign w:val="center"/>
          </w:tcPr>
          <w:p>
            <w:pPr>
              <w:pStyle w:val="style0"/>
              <w:jc w:val="center"/>
              <w:rPr>
                <w:rFonts w:ascii="宋体" w:eastAsia="宋体" w:hAnsi="宋体"/>
                <w:sz w:val="21"/>
                <w:szCs w:val="21"/>
              </w:rPr>
            </w:pPr>
            <w:r>
              <w:rPr>
                <w:rFonts w:ascii="宋体" w:hAnsi="宋体" w:hint="eastAsia"/>
                <w:szCs w:val="21"/>
              </w:rPr>
              <w:t>2</w:t>
            </w:r>
            <w:r>
              <w:rPr>
                <w:rFonts w:ascii="宋体" w:eastAsia="宋体" w:hAnsi="宋体" w:hint="eastAsia"/>
                <w:szCs w:val="21"/>
                <w:lang w:eastAsia="zh-CN"/>
              </w:rPr>
              <w:t>、</w:t>
            </w:r>
            <w:r>
              <w:rPr>
                <w:rFonts w:ascii="宋体" w:eastAsia="宋体" w:hAnsi="宋体" w:hint="eastAsia"/>
                <w:szCs w:val="21"/>
                <w:lang w:val="en-US" w:eastAsia="zh-CN"/>
              </w:rPr>
              <w:t>3、4</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存货的核算</w:t>
            </w:r>
          </w:p>
        </w:tc>
        <w:tc>
          <w:tcPr>
            <w:tcW w:w="628" w:type="dxa"/>
            <w:gridSpan w:val="2"/>
            <w:tcBorders/>
            <w:vAlign w:val="center"/>
          </w:tcPr>
          <w:p>
            <w:pPr>
              <w:pStyle w:val="style0"/>
              <w:jc w:val="center"/>
              <w:rPr>
                <w:rFonts w:ascii="宋体" w:cs="宋体" w:eastAsia="宋体" w:hAnsi="宋体" w:hint="eastAsia"/>
                <w:sz w:val="21"/>
                <w:szCs w:val="21"/>
                <w:lang w:eastAsia="zh-CN"/>
              </w:rPr>
            </w:pPr>
            <w:r>
              <w:rPr>
                <w:rFonts w:ascii="宋体" w:cs="宋体" w:eastAsia="宋体" w:hAnsi="宋体" w:hint="eastAsia"/>
                <w:sz w:val="21"/>
                <w:szCs w:val="21"/>
                <w:lang w:val="en-US" w:eastAsia="zh-CN"/>
              </w:rPr>
              <w:t>10</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点：存货的计量与核算</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w:t>
            </w:r>
            <w:r>
              <w:rPr>
                <w:rFonts w:ascii="宋体" w:cs="宋体" w:eastAsia="宋体" w:hAnsi="宋体" w:hint="eastAsia"/>
                <w:sz w:val="21"/>
                <w:szCs w:val="21"/>
              </w:rPr>
              <w:t>点：发出存货的计价、计划成本法的应用、存货的期末计量</w:t>
            </w:r>
          </w:p>
        </w:tc>
        <w:tc>
          <w:tcPr>
            <w:tcW w:w="954" w:type="dxa"/>
            <w:gridSpan w:val="2"/>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课堂讲授，课堂练习讨论</w:t>
            </w:r>
          </w:p>
        </w:tc>
        <w:tc>
          <w:tcPr>
            <w:tcW w:w="1093" w:type="dxa"/>
            <w:tcBorders/>
            <w:vAlign w:val="center"/>
          </w:tcPr>
          <w:p>
            <w:pPr>
              <w:pStyle w:val="style0"/>
              <w:spacing w:after="0" w:lineRule="atLeast" w:line="0"/>
              <w:rPr>
                <w:rFonts w:ascii="宋体" w:cs="宋体" w:eastAsia="宋体" w:hAnsi="宋体" w:hint="eastAsia"/>
                <w:sz w:val="21"/>
                <w:szCs w:val="21"/>
                <w:lang w:eastAsia="zh-CN"/>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P34练习题及存货 专项练习</w:t>
            </w:r>
          </w:p>
        </w:tc>
      </w:tr>
      <w:tr>
        <w:tblPrEx/>
        <w:trPr>
          <w:trHeight w:val="340" w:hRule="atLeast"/>
          <w:jc w:val="center"/>
        </w:trPr>
        <w:tc>
          <w:tcPr>
            <w:tcW w:w="648" w:type="dxa"/>
            <w:tcBorders/>
            <w:vAlign w:val="center"/>
          </w:tcPr>
          <w:p>
            <w:pPr>
              <w:pStyle w:val="style0"/>
              <w:jc w:val="center"/>
              <w:rPr>
                <w:rFonts w:ascii="宋体" w:eastAsia="宋体" w:hAnsi="宋体"/>
                <w:sz w:val="21"/>
                <w:szCs w:val="21"/>
              </w:rPr>
            </w:pPr>
            <w:r>
              <w:rPr>
                <w:rFonts w:ascii="宋体" w:eastAsia="宋体" w:hAnsi="宋体" w:hint="eastAsia"/>
                <w:szCs w:val="21"/>
                <w:lang w:val="en-US" w:eastAsia="zh-CN"/>
              </w:rPr>
              <w:t>4</w:t>
            </w:r>
            <w:r>
              <w:rPr>
                <w:rFonts w:ascii="宋体" w:hAnsi="宋体" w:hint="eastAsia"/>
                <w:szCs w:val="21"/>
              </w:rPr>
              <w:t>、</w:t>
            </w:r>
            <w:r>
              <w:rPr>
                <w:rFonts w:ascii="宋体" w:eastAsia="宋体" w:hAnsi="宋体" w:hint="eastAsia"/>
                <w:szCs w:val="21"/>
                <w:lang w:val="en-US" w:eastAsia="zh-CN"/>
              </w:rPr>
              <w:t>5、6</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金融资产的核算</w:t>
            </w:r>
          </w:p>
        </w:tc>
        <w:tc>
          <w:tcPr>
            <w:tcW w:w="628" w:type="dxa"/>
            <w:gridSpan w:val="2"/>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lang w:val="en-US" w:eastAsia="zh-CN"/>
              </w:rPr>
              <w:t>8</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点：金融资产的分类与交易性金融资产、应收款项的核算</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w:t>
            </w:r>
            <w:r>
              <w:rPr>
                <w:rFonts w:ascii="宋体" w:cs="宋体" w:eastAsia="宋体" w:hAnsi="宋体" w:hint="eastAsia"/>
                <w:sz w:val="21"/>
                <w:szCs w:val="21"/>
              </w:rPr>
              <w:t>点：交易性金融资产、持有到期投资投资收益的计算、应收账款核算时商业折扣及现金折扣的处理、应收款项减值准备的计提</w:t>
            </w:r>
          </w:p>
        </w:tc>
        <w:tc>
          <w:tcPr>
            <w:tcW w:w="954" w:type="dxa"/>
            <w:gridSpan w:val="2"/>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课堂讲授</w:t>
            </w:r>
          </w:p>
        </w:tc>
        <w:tc>
          <w:tcPr>
            <w:tcW w:w="1093" w:type="dxa"/>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P89练习题及金融资产专项练习</w:t>
            </w:r>
          </w:p>
        </w:tc>
      </w:tr>
      <w:tr>
        <w:tblPrEx/>
        <w:trPr>
          <w:trHeight w:val="340" w:hRule="atLeast"/>
          <w:jc w:val="center"/>
        </w:trPr>
        <w:tc>
          <w:tcPr>
            <w:tcW w:w="648" w:type="dxa"/>
            <w:tcBorders/>
            <w:vAlign w:val="center"/>
          </w:tcPr>
          <w:p>
            <w:pPr>
              <w:pStyle w:val="style0"/>
              <w:jc w:val="center"/>
              <w:rPr>
                <w:rFonts w:ascii="宋体" w:eastAsia="宋体" w:hAnsi="宋体"/>
                <w:sz w:val="21"/>
                <w:szCs w:val="21"/>
              </w:rPr>
            </w:pPr>
            <w:r>
              <w:rPr>
                <w:rFonts w:ascii="宋体" w:eastAsia="宋体" w:hAnsi="宋体" w:hint="eastAsia"/>
                <w:szCs w:val="21"/>
                <w:lang w:val="en-US" w:eastAsia="zh-CN"/>
              </w:rPr>
              <w:t>6</w:t>
            </w:r>
            <w:r>
              <w:rPr>
                <w:rFonts w:ascii="宋体" w:hAnsi="宋体" w:hint="eastAsia"/>
                <w:szCs w:val="21"/>
              </w:rPr>
              <w:t>、</w:t>
            </w:r>
            <w:r>
              <w:rPr>
                <w:rFonts w:ascii="宋体" w:eastAsia="宋体" w:hAnsi="宋体" w:hint="eastAsia"/>
                <w:szCs w:val="21"/>
                <w:lang w:val="en-US" w:eastAsia="zh-CN"/>
              </w:rPr>
              <w:t>7</w:t>
            </w:r>
            <w:r>
              <w:rPr>
                <w:rFonts w:ascii="宋体" w:hAnsi="宋体" w:hint="eastAsia"/>
                <w:szCs w:val="21"/>
              </w:rPr>
              <w:t>、</w:t>
            </w:r>
            <w:r>
              <w:rPr>
                <w:rFonts w:ascii="宋体" w:eastAsia="宋体" w:hAnsi="宋体" w:hint="eastAsia"/>
                <w:szCs w:val="21"/>
                <w:lang w:val="en-US" w:eastAsia="zh-CN"/>
              </w:rPr>
              <w:t>8</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长期股权投资的核算</w:t>
            </w:r>
          </w:p>
        </w:tc>
        <w:tc>
          <w:tcPr>
            <w:tcW w:w="628" w:type="dxa"/>
            <w:gridSpan w:val="2"/>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rPr>
              <w:t>10</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点：长期股权投资的初始计量与后续计量、处置</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w:t>
            </w:r>
            <w:r>
              <w:rPr>
                <w:rFonts w:ascii="宋体" w:cs="宋体" w:eastAsia="宋体" w:hAnsi="宋体" w:hint="eastAsia"/>
                <w:sz w:val="21"/>
                <w:szCs w:val="21"/>
              </w:rPr>
              <w:t>点：长期股权投资初始投资成本的确定、长期股权投资持有期间核算的成本法和权益法</w:t>
            </w:r>
          </w:p>
        </w:tc>
        <w:tc>
          <w:tcPr>
            <w:tcW w:w="954" w:type="dxa"/>
            <w:gridSpan w:val="2"/>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课堂讲授</w:t>
            </w:r>
          </w:p>
        </w:tc>
        <w:tc>
          <w:tcPr>
            <w:tcW w:w="1093" w:type="dxa"/>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P139练习题及长期股权投资专项练习</w:t>
            </w:r>
          </w:p>
        </w:tc>
      </w:tr>
      <w:tr>
        <w:tblPrEx/>
        <w:trPr>
          <w:trHeight w:val="340" w:hRule="atLeast"/>
          <w:jc w:val="center"/>
        </w:trPr>
        <w:tc>
          <w:tcPr>
            <w:tcW w:w="648" w:type="dxa"/>
            <w:tcBorders/>
            <w:vAlign w:val="center"/>
          </w:tcPr>
          <w:p>
            <w:pPr>
              <w:pStyle w:val="style0"/>
              <w:jc w:val="center"/>
              <w:rPr>
                <w:rFonts w:ascii="宋体" w:eastAsia="宋体" w:hAnsi="宋体" w:hint="eastAsia"/>
                <w:sz w:val="21"/>
                <w:szCs w:val="21"/>
                <w:lang w:eastAsia="zh-CN"/>
              </w:rPr>
            </w:pPr>
            <w:r>
              <w:rPr>
                <w:rFonts w:ascii="宋体" w:eastAsia="宋体" w:hAnsi="宋体" w:hint="eastAsia"/>
                <w:szCs w:val="21"/>
                <w:lang w:val="en-US" w:eastAsia="zh-CN"/>
              </w:rPr>
              <w:t>9</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期中复习</w:t>
            </w:r>
          </w:p>
        </w:tc>
        <w:tc>
          <w:tcPr>
            <w:tcW w:w="628" w:type="dxa"/>
            <w:gridSpan w:val="2"/>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lang w:val="en-US" w:eastAsia="zh-CN"/>
              </w:rPr>
              <w:t>2</w:t>
            </w:r>
          </w:p>
        </w:tc>
        <w:tc>
          <w:tcPr>
            <w:tcW w:w="4841" w:type="dxa"/>
            <w:gridSpan w:val="2"/>
            <w:tcBorders/>
          </w:tcPr>
          <w:p>
            <w:pPr>
              <w:pStyle w:val="style0"/>
              <w:rPr>
                <w:rFonts w:ascii="宋体" w:cs="宋体" w:eastAsia="宋体" w:hAnsi="宋体" w:hint="eastAsia"/>
                <w:sz w:val="21"/>
                <w:szCs w:val="21"/>
              </w:rPr>
            </w:pPr>
          </w:p>
        </w:tc>
        <w:tc>
          <w:tcPr>
            <w:tcW w:w="954" w:type="dxa"/>
            <w:gridSpan w:val="2"/>
            <w:tcBorders/>
            <w:vAlign w:val="center"/>
          </w:tcPr>
          <w:p>
            <w:pPr>
              <w:pStyle w:val="style0"/>
              <w:spacing w:after="0" w:lineRule="atLeast" w:line="0"/>
              <w:rPr>
                <w:rFonts w:ascii="宋体" w:cs="宋体" w:eastAsia="宋体" w:hAnsi="宋体" w:hint="eastAsia"/>
                <w:sz w:val="21"/>
                <w:szCs w:val="21"/>
              </w:rPr>
            </w:pPr>
          </w:p>
        </w:tc>
        <w:tc>
          <w:tcPr>
            <w:tcW w:w="1093" w:type="dxa"/>
            <w:tcBorders/>
            <w:vAlign w:val="center"/>
          </w:tcPr>
          <w:p>
            <w:pPr>
              <w:pStyle w:val="style0"/>
              <w:spacing w:after="0" w:lineRule="atLeast" w:line="0"/>
              <w:rPr>
                <w:rFonts w:ascii="宋体" w:cs="宋体" w:eastAsia="宋体" w:hAnsi="宋体" w:hint="eastAsia"/>
                <w:sz w:val="21"/>
                <w:szCs w:val="21"/>
              </w:rPr>
            </w:pPr>
          </w:p>
        </w:tc>
      </w:tr>
      <w:tr>
        <w:tblPrEx/>
        <w:trPr>
          <w:trHeight w:val="340" w:hRule="atLeast"/>
          <w:jc w:val="center"/>
        </w:trPr>
        <w:tc>
          <w:tcPr>
            <w:tcW w:w="648" w:type="dxa"/>
            <w:tcBorders/>
            <w:vAlign w:val="center"/>
          </w:tcPr>
          <w:p>
            <w:pPr>
              <w:pStyle w:val="style0"/>
              <w:jc w:val="center"/>
              <w:rPr>
                <w:rFonts w:ascii="宋体" w:eastAsia="宋体" w:hAnsi="宋体"/>
                <w:sz w:val="21"/>
                <w:szCs w:val="21"/>
              </w:rPr>
            </w:pPr>
            <w:r>
              <w:rPr>
                <w:rFonts w:ascii="宋体" w:eastAsia="宋体" w:hAnsi="宋体" w:hint="eastAsia"/>
                <w:szCs w:val="21"/>
                <w:lang w:val="en-US" w:eastAsia="zh-CN"/>
              </w:rPr>
              <w:t>9</w:t>
            </w:r>
            <w:r>
              <w:rPr>
                <w:rFonts w:ascii="宋体" w:hAnsi="宋体" w:hint="eastAsia"/>
                <w:szCs w:val="21"/>
              </w:rPr>
              <w:t>、1</w:t>
            </w:r>
            <w:r>
              <w:rPr>
                <w:rFonts w:ascii="宋体" w:eastAsia="宋体" w:hAnsi="宋体" w:hint="eastAsia"/>
                <w:szCs w:val="21"/>
                <w:lang w:val="en-US" w:eastAsia="zh-CN"/>
              </w:rPr>
              <w:t>0</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固定资产的核算</w:t>
            </w:r>
          </w:p>
        </w:tc>
        <w:tc>
          <w:tcPr>
            <w:tcW w:w="628" w:type="dxa"/>
            <w:gridSpan w:val="2"/>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rPr>
              <w:t>8</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 固定资产的初始计量与后续计量</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w:t>
            </w:r>
            <w:r>
              <w:rPr>
                <w:rFonts w:ascii="宋体" w:cs="宋体" w:eastAsia="宋体" w:hAnsi="宋体" w:hint="eastAsia"/>
                <w:sz w:val="21"/>
                <w:szCs w:val="21"/>
              </w:rPr>
              <w:t>点: 取得固定资产成本的确定、加速折旧法、固定资产清理</w:t>
            </w:r>
          </w:p>
        </w:tc>
        <w:tc>
          <w:tcPr>
            <w:tcW w:w="954" w:type="dxa"/>
            <w:gridSpan w:val="2"/>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课堂讲授</w:t>
            </w:r>
          </w:p>
        </w:tc>
        <w:tc>
          <w:tcPr>
            <w:tcW w:w="1093" w:type="dxa"/>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P180练习题及固定资产专项练习</w:t>
            </w:r>
          </w:p>
        </w:tc>
      </w:tr>
      <w:tr>
        <w:tblPrEx/>
        <w:trPr>
          <w:trHeight w:val="860" w:hRule="atLeast"/>
          <w:jc w:val="center"/>
        </w:trPr>
        <w:tc>
          <w:tcPr>
            <w:tcW w:w="648" w:type="dxa"/>
            <w:tcBorders/>
            <w:vAlign w:val="center"/>
          </w:tcPr>
          <w:p>
            <w:pPr>
              <w:pStyle w:val="style0"/>
              <w:jc w:val="center"/>
              <w:rPr>
                <w:rFonts w:ascii="宋体" w:eastAsia="宋体" w:hAnsi="宋体"/>
                <w:sz w:val="21"/>
                <w:szCs w:val="21"/>
              </w:rPr>
            </w:pPr>
            <w:r>
              <w:rPr>
                <w:rFonts w:ascii="宋体" w:eastAsia="宋体" w:hAnsi="宋体" w:hint="eastAsia"/>
                <w:szCs w:val="21"/>
                <w:lang w:val="en-US" w:eastAsia="zh-CN"/>
              </w:rPr>
              <w:t>11</w:t>
            </w:r>
            <w:r>
              <w:rPr>
                <w:rFonts w:ascii="宋体" w:hAnsi="宋体" w:hint="eastAsia"/>
                <w:szCs w:val="21"/>
              </w:rPr>
              <w:t>、1</w:t>
            </w:r>
            <w:r>
              <w:rPr>
                <w:rFonts w:ascii="宋体" w:eastAsia="宋体" w:hAnsi="宋体" w:hint="eastAsia"/>
                <w:szCs w:val="21"/>
                <w:lang w:val="en-US" w:eastAsia="zh-CN"/>
              </w:rPr>
              <w:t>2</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无形资产的核算</w:t>
            </w:r>
          </w:p>
        </w:tc>
        <w:tc>
          <w:tcPr>
            <w:tcW w:w="628" w:type="dxa"/>
            <w:gridSpan w:val="2"/>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lang w:val="en-US" w:eastAsia="zh-CN"/>
              </w:rPr>
              <w:t>6</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点：无形资产的初始计量与后续计量</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w:t>
            </w:r>
            <w:r>
              <w:rPr>
                <w:rFonts w:ascii="宋体" w:cs="宋体" w:eastAsia="宋体" w:hAnsi="宋体" w:hint="eastAsia"/>
                <w:sz w:val="21"/>
                <w:szCs w:val="21"/>
              </w:rPr>
              <w:t>点：研发费用的确认与计量</w:t>
            </w:r>
          </w:p>
        </w:tc>
        <w:tc>
          <w:tcPr>
            <w:tcW w:w="954" w:type="dxa"/>
            <w:gridSpan w:val="2"/>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课堂讲授</w:t>
            </w:r>
          </w:p>
        </w:tc>
        <w:tc>
          <w:tcPr>
            <w:tcW w:w="1093" w:type="dxa"/>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P203练习题及无形资产专项练习</w:t>
            </w:r>
          </w:p>
        </w:tc>
      </w:tr>
      <w:tr>
        <w:tblPrEx/>
        <w:trPr>
          <w:trHeight w:val="340" w:hRule="atLeast"/>
          <w:jc w:val="center"/>
        </w:trPr>
        <w:tc>
          <w:tcPr>
            <w:tcW w:w="648" w:type="dxa"/>
            <w:tcBorders/>
            <w:vAlign w:val="center"/>
          </w:tcPr>
          <w:p>
            <w:pPr>
              <w:pStyle w:val="style0"/>
              <w:jc w:val="center"/>
              <w:rPr>
                <w:rFonts w:ascii="宋体" w:eastAsia="宋体" w:hAnsi="宋体"/>
                <w:sz w:val="21"/>
                <w:szCs w:val="21"/>
              </w:rPr>
            </w:pPr>
            <w:r>
              <w:rPr>
                <w:rFonts w:ascii="宋体" w:hAnsi="宋体" w:hint="eastAsia"/>
                <w:szCs w:val="21"/>
              </w:rPr>
              <w:t>1</w:t>
            </w:r>
            <w:r>
              <w:rPr>
                <w:rFonts w:ascii="宋体" w:eastAsia="宋体" w:hAnsi="宋体" w:hint="eastAsia"/>
                <w:szCs w:val="21"/>
                <w:lang w:val="en-US" w:eastAsia="zh-CN"/>
              </w:rPr>
              <w:t>3</w:t>
            </w:r>
            <w:r>
              <w:rPr>
                <w:rFonts w:ascii="宋体" w:hAnsi="宋体" w:hint="eastAsia"/>
                <w:szCs w:val="21"/>
              </w:rPr>
              <w:t>、1</w:t>
            </w:r>
            <w:r>
              <w:rPr>
                <w:rFonts w:ascii="宋体" w:eastAsia="宋体" w:hAnsi="宋体" w:hint="eastAsia"/>
                <w:szCs w:val="21"/>
                <w:lang w:val="en-US" w:eastAsia="zh-CN"/>
              </w:rPr>
              <w:t>4</w:t>
            </w:r>
          </w:p>
        </w:tc>
        <w:tc>
          <w:tcPr>
            <w:tcW w:w="1237" w:type="dxa"/>
            <w:tcBorders/>
          </w:tcPr>
          <w:p>
            <w:pPr>
              <w:pStyle w:val="style0"/>
              <w:rPr>
                <w:rFonts w:ascii="宋体" w:cs="宋体" w:eastAsia="宋体" w:hAnsi="宋体" w:hint="eastAsia"/>
                <w:sz w:val="21"/>
                <w:szCs w:val="21"/>
              </w:rPr>
            </w:pPr>
            <w:r>
              <w:rPr>
                <w:rFonts w:ascii="宋体" w:cs="宋体" w:eastAsia="宋体" w:hAnsi="宋体" w:hint="eastAsia"/>
                <w:sz w:val="21"/>
                <w:szCs w:val="21"/>
              </w:rPr>
              <w:t>投资性房地产的核算</w:t>
            </w:r>
            <w:r>
              <w:rPr>
                <w:rFonts w:ascii="宋体" w:cs="宋体" w:eastAsia="宋体" w:hAnsi="宋体" w:hint="eastAsia"/>
                <w:sz w:val="21"/>
                <w:szCs w:val="21"/>
                <w:lang w:eastAsia="zh-CN"/>
              </w:rPr>
              <w:t>、</w:t>
            </w:r>
            <w:r>
              <w:rPr>
                <w:rFonts w:ascii="宋体" w:cs="宋体" w:eastAsia="宋体" w:hAnsi="宋体" w:hint="eastAsia"/>
                <w:sz w:val="21"/>
                <w:szCs w:val="21"/>
              </w:rPr>
              <w:t>资产减值</w:t>
            </w:r>
          </w:p>
        </w:tc>
        <w:tc>
          <w:tcPr>
            <w:tcW w:w="628" w:type="dxa"/>
            <w:gridSpan w:val="2"/>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lang w:val="en-US" w:eastAsia="zh-CN"/>
              </w:rPr>
              <w:t>6</w:t>
            </w:r>
          </w:p>
        </w:tc>
        <w:tc>
          <w:tcPr>
            <w:tcW w:w="4841" w:type="dxa"/>
            <w:gridSpan w:val="2"/>
            <w:tcBorders/>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重</w:t>
            </w:r>
            <w:r>
              <w:rPr>
                <w:rFonts w:ascii="宋体" w:cs="宋体" w:eastAsia="宋体" w:hAnsi="宋体" w:hint="eastAsia"/>
                <w:sz w:val="21"/>
                <w:szCs w:val="21"/>
              </w:rPr>
              <w:t>点：投资性房地产的初始计量与后续计量</w:t>
            </w:r>
            <w:r>
              <w:rPr>
                <w:rFonts w:ascii="宋体" w:cs="宋体" w:eastAsia="宋体" w:hAnsi="宋体" w:hint="eastAsia"/>
                <w:sz w:val="21"/>
                <w:szCs w:val="21"/>
                <w:lang w:eastAsia="zh-CN"/>
              </w:rPr>
              <w:t>；</w:t>
            </w:r>
            <w:r>
              <w:rPr>
                <w:rFonts w:ascii="宋体" w:cs="宋体" w:eastAsia="宋体" w:hAnsi="宋体" w:hint="eastAsia"/>
                <w:sz w:val="21"/>
                <w:szCs w:val="21"/>
              </w:rPr>
              <w:t>资产减值的确认、计量</w:t>
            </w:r>
          </w:p>
          <w:p>
            <w:pPr>
              <w:pStyle w:val="style0"/>
              <w:rPr>
                <w:rFonts w:ascii="宋体" w:cs="宋体" w:eastAsia="宋体" w:hAnsi="宋体" w:hint="eastAsia"/>
                <w:sz w:val="21"/>
                <w:szCs w:val="21"/>
              </w:rPr>
            </w:pPr>
            <w:r>
              <w:rPr>
                <w:rFonts w:ascii="宋体" w:cs="宋体" w:eastAsia="宋体" w:hAnsi="宋体" w:hint="eastAsia"/>
                <w:sz w:val="21"/>
                <w:szCs w:val="21"/>
                <w:lang w:eastAsia="zh-CN"/>
              </w:rPr>
              <w:t>难</w:t>
            </w:r>
            <w:r>
              <w:rPr>
                <w:rFonts w:ascii="宋体" w:cs="宋体" w:eastAsia="宋体" w:hAnsi="宋体" w:hint="eastAsia"/>
                <w:sz w:val="21"/>
                <w:szCs w:val="21"/>
              </w:rPr>
              <w:t>点：投资性与非投资性房地产的区别；投资性房地产后续计量的公允价值模式；资产可收回金额的计量、资产组的认定与减值处理</w:t>
            </w:r>
          </w:p>
        </w:tc>
        <w:tc>
          <w:tcPr>
            <w:tcW w:w="954" w:type="dxa"/>
            <w:gridSpan w:val="2"/>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课堂讲授</w:t>
            </w:r>
          </w:p>
        </w:tc>
        <w:tc>
          <w:tcPr>
            <w:tcW w:w="1093" w:type="dxa"/>
            <w:tcBorders/>
            <w:vAlign w:val="center"/>
          </w:tcPr>
          <w:p>
            <w:pPr>
              <w:pStyle w:val="style0"/>
              <w:spacing w:after="0" w:lineRule="atLeast" w:line="0"/>
              <w:rPr>
                <w:rFonts w:ascii="宋体" w:cs="宋体" w:eastAsia="宋体" w:hAnsi="宋体" w:hint="eastAsia"/>
                <w:sz w:val="21"/>
                <w:szCs w:val="21"/>
              </w:rPr>
            </w:pPr>
            <w:r>
              <w:rPr>
                <w:rFonts w:ascii="宋体" w:cs="宋体" w:eastAsia="宋体" w:hAnsi="宋体" w:hint="eastAsia"/>
                <w:sz w:val="21"/>
                <w:szCs w:val="21"/>
                <w:lang w:eastAsia="zh-CN"/>
              </w:rPr>
              <w:t>习题册</w:t>
            </w:r>
            <w:r>
              <w:rPr>
                <w:rFonts w:ascii="宋体" w:cs="宋体" w:eastAsia="宋体" w:hAnsi="宋体" w:hint="eastAsia"/>
                <w:sz w:val="21"/>
                <w:szCs w:val="21"/>
                <w:lang w:val="en-US" w:eastAsia="zh-CN"/>
              </w:rPr>
              <w:t>P213练习题</w:t>
            </w:r>
          </w:p>
        </w:tc>
      </w:tr>
      <w:tr>
        <w:tblPrEx/>
        <w:trPr>
          <w:trHeight w:val="340" w:hRule="atLeast"/>
          <w:jc w:val="center"/>
        </w:trPr>
        <w:tc>
          <w:tcPr>
            <w:tcW w:w="648" w:type="dxa"/>
            <w:tcBorders>
              <w:top w:val="single" w:sz="4" w:space="0" w:color="auto"/>
              <w:left w:val="single" w:sz="4" w:space="0" w:color="auto"/>
              <w:bottom w:val="single" w:sz="4" w:space="0" w:color="auto"/>
              <w:right w:val="single" w:sz="4" w:space="0" w:color="auto"/>
            </w:tcBorders>
            <w:vAlign w:val="center"/>
          </w:tcPr>
          <w:p>
            <w:pPr>
              <w:pStyle w:val="style0"/>
              <w:spacing w:after="0" w:lineRule="atLeast" w:line="0"/>
              <w:rPr>
                <w:rFonts w:ascii="宋体" w:eastAsia="宋体" w:hAnsi="宋体"/>
                <w:sz w:val="21"/>
                <w:szCs w:val="21"/>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pPr>
              <w:pStyle w:val="style0"/>
              <w:spacing w:after="0" w:lineRule="atLeast" w:line="0"/>
              <w:rPr>
                <w:rFonts w:ascii="宋体" w:eastAsia="宋体" w:hAnsi="宋体"/>
                <w:sz w:val="21"/>
                <w:szCs w:val="21"/>
              </w:rPr>
            </w:pPr>
          </w:p>
        </w:tc>
        <w:tc>
          <w:tcPr>
            <w:tcW w:w="628" w:type="dxa"/>
            <w:gridSpan w:val="2"/>
            <w:tcBorders>
              <w:top w:val="single" w:sz="4" w:space="0" w:color="auto"/>
              <w:left w:val="single" w:sz="4" w:space="0" w:color="auto"/>
              <w:bottom w:val="single" w:sz="4" w:space="0" w:color="auto"/>
              <w:right w:val="single" w:sz="4" w:space="0" w:color="auto"/>
            </w:tcBorders>
            <w:vAlign w:val="center"/>
          </w:tcPr>
          <w:p>
            <w:pPr>
              <w:pStyle w:val="style0"/>
              <w:spacing w:after="0" w:lineRule="atLeast" w:line="0"/>
              <w:rPr>
                <w:rFonts w:ascii="宋体" w:eastAsia="宋体" w:hAnsi="宋体"/>
                <w:sz w:val="21"/>
                <w:szCs w:val="21"/>
              </w:rPr>
            </w:pPr>
          </w:p>
        </w:tc>
        <w:tc>
          <w:tcPr>
            <w:tcW w:w="4841" w:type="dxa"/>
            <w:gridSpan w:val="2"/>
            <w:tcBorders>
              <w:top w:val="single" w:sz="4" w:space="0" w:color="auto"/>
              <w:left w:val="single" w:sz="4" w:space="0" w:color="auto"/>
              <w:bottom w:val="single" w:sz="4" w:space="0" w:color="auto"/>
              <w:right w:val="single" w:sz="4" w:space="0" w:color="auto"/>
            </w:tcBorders>
            <w:vAlign w:val="center"/>
          </w:tcPr>
          <w:p>
            <w:pPr>
              <w:pStyle w:val="style0"/>
              <w:spacing w:after="0" w:lineRule="atLeast" w:line="0"/>
              <w:rPr>
                <w:rFonts w:ascii="宋体" w:eastAsia="宋体" w:hAnsi="宋体"/>
                <w:sz w:val="21"/>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pPr>
              <w:pStyle w:val="style0"/>
              <w:spacing w:after="0" w:lineRule="atLeast" w:line="0"/>
              <w:rPr>
                <w:rFonts w:ascii="宋体" w:eastAsia="宋体" w:hAnsi="宋体"/>
                <w:sz w:val="21"/>
                <w:szCs w:val="21"/>
              </w:rPr>
            </w:pPr>
          </w:p>
        </w:tc>
        <w:tc>
          <w:tcPr>
            <w:tcW w:w="1093" w:type="dxa"/>
            <w:tcBorders>
              <w:top w:val="single" w:sz="4" w:space="0" w:color="auto"/>
              <w:left w:val="single" w:sz="4" w:space="0" w:color="auto"/>
              <w:bottom w:val="single" w:sz="4" w:space="0" w:color="auto"/>
              <w:right w:val="single" w:sz="4" w:space="0" w:color="auto"/>
            </w:tcBorders>
            <w:vAlign w:val="center"/>
          </w:tcPr>
          <w:p>
            <w:pPr>
              <w:pStyle w:val="style0"/>
              <w:spacing w:after="0" w:lineRule="atLeast" w:line="0"/>
              <w:rPr>
                <w:rFonts w:ascii="宋体" w:eastAsia="宋体" w:hAnsi="宋体"/>
                <w:sz w:val="21"/>
                <w:szCs w:val="21"/>
              </w:rPr>
            </w:pPr>
          </w:p>
        </w:tc>
      </w:tr>
      <w:tr>
        <w:tblPrEx/>
        <w:trPr>
          <w:trHeight w:val="340" w:hRule="atLeast"/>
          <w:jc w:val="center"/>
        </w:trPr>
        <w:tc>
          <w:tcPr>
            <w:tcW w:w="1885" w:type="dxa"/>
            <w:gridSpan w:val="2"/>
            <w:tcBorders>
              <w:top w:val="single" w:sz="4" w:space="0" w:color="auto"/>
            </w:tcBorders>
            <w:vAlign w:val="center"/>
          </w:tcPr>
          <w:p>
            <w:pPr>
              <w:pStyle w:val="style0"/>
              <w:spacing w:after="0" w:lineRule="atLeast" w:line="0"/>
              <w:jc w:val="right"/>
              <w:rPr>
                <w:rFonts w:ascii="宋体" w:eastAsia="宋体" w:hAnsi="宋体"/>
                <w:sz w:val="21"/>
                <w:szCs w:val="21"/>
              </w:rPr>
            </w:pPr>
            <w:r>
              <w:rPr>
                <w:rFonts w:ascii="宋体" w:eastAsia="宋体" w:hAnsi="宋体" w:hint="eastAsia"/>
                <w:b/>
                <w:sz w:val="21"/>
                <w:szCs w:val="21"/>
              </w:rPr>
              <w:t>合计：</w:t>
            </w:r>
          </w:p>
        </w:tc>
        <w:tc>
          <w:tcPr>
            <w:tcW w:w="628" w:type="dxa"/>
            <w:gridSpan w:val="2"/>
            <w:tcBorders>
              <w:top w:val="single" w:sz="4" w:space="0" w:color="auto"/>
            </w:tcBorders>
            <w:vAlign w:val="center"/>
          </w:tcPr>
          <w:p>
            <w:pPr>
              <w:pStyle w:val="style0"/>
              <w:spacing w:after="0" w:lineRule="atLeast" w:line="0"/>
              <w:rPr>
                <w:rFonts w:ascii="宋体" w:eastAsia="宋体" w:hAnsi="宋体" w:hint="eastAsia"/>
                <w:sz w:val="21"/>
                <w:szCs w:val="21"/>
                <w:lang w:val="en-US" w:eastAsia="zh-CN"/>
              </w:rPr>
            </w:pPr>
            <w:r>
              <w:rPr>
                <w:rFonts w:ascii="宋体" w:eastAsia="宋体" w:hAnsi="宋体" w:hint="eastAsia"/>
                <w:sz w:val="21"/>
                <w:szCs w:val="21"/>
                <w:lang w:val="en-US" w:eastAsia="zh-CN"/>
              </w:rPr>
              <w:t>54</w:t>
            </w:r>
          </w:p>
        </w:tc>
        <w:tc>
          <w:tcPr>
            <w:tcW w:w="4841" w:type="dxa"/>
            <w:gridSpan w:val="2"/>
            <w:tcBorders>
              <w:top w:val="single" w:sz="4" w:space="0" w:color="auto"/>
            </w:tcBorders>
            <w:vAlign w:val="center"/>
          </w:tcPr>
          <w:p>
            <w:pPr>
              <w:pStyle w:val="style0"/>
              <w:spacing w:after="0" w:lineRule="atLeast" w:line="0"/>
              <w:rPr>
                <w:rFonts w:ascii="宋体" w:eastAsia="宋体" w:hAnsi="宋体"/>
                <w:sz w:val="21"/>
                <w:szCs w:val="21"/>
              </w:rPr>
            </w:pPr>
          </w:p>
        </w:tc>
        <w:tc>
          <w:tcPr>
            <w:tcW w:w="954" w:type="dxa"/>
            <w:gridSpan w:val="2"/>
            <w:tcBorders>
              <w:top w:val="single" w:sz="4" w:space="0" w:color="auto"/>
            </w:tcBorders>
            <w:vAlign w:val="center"/>
          </w:tcPr>
          <w:p>
            <w:pPr>
              <w:pStyle w:val="style0"/>
              <w:spacing w:after="0" w:lineRule="atLeast" w:line="0"/>
              <w:rPr>
                <w:rFonts w:ascii="宋体" w:eastAsia="宋体" w:hAnsi="宋体"/>
                <w:sz w:val="21"/>
                <w:szCs w:val="21"/>
              </w:rPr>
            </w:pPr>
          </w:p>
        </w:tc>
        <w:tc>
          <w:tcPr>
            <w:tcW w:w="1093" w:type="dxa"/>
            <w:tcBorders>
              <w:top w:val="single" w:sz="4" w:space="0" w:color="auto"/>
            </w:tcBorders>
            <w:vAlign w:val="center"/>
          </w:tcPr>
          <w:p>
            <w:pPr>
              <w:pStyle w:val="style0"/>
              <w:spacing w:after="0" w:lineRule="atLeast" w:line="0"/>
              <w:rPr>
                <w:rFonts w:ascii="宋体" w:eastAsia="宋体" w:hAnsi="宋体"/>
                <w:sz w:val="21"/>
                <w:szCs w:val="21"/>
              </w:rPr>
            </w:pPr>
          </w:p>
        </w:tc>
      </w:tr>
      <w:tr>
        <w:tblPrEx/>
        <w:trPr>
          <w:trHeight w:val="340" w:hRule="atLeast"/>
          <w:jc w:val="center"/>
        </w:trPr>
        <w:tc>
          <w:tcPr>
            <w:tcW w:w="9401" w:type="dxa"/>
            <w:gridSpan w:val="9"/>
            <w:tcBorders/>
            <w:shd w:val="clear" w:color="auto" w:fill="c0c0c0"/>
            <w:vAlign w:val="center"/>
          </w:tcPr>
          <w:p>
            <w:pPr>
              <w:pStyle w:val="style0"/>
              <w:tabs>
                <w:tab w:val="left" w:leader="none" w:pos="1440"/>
              </w:tabs>
              <w:spacing w:after="0" w:lineRule="atLeast" w:line="0"/>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tblPrEx/>
        <w:trPr>
          <w:trHeight w:val="340" w:hRule="atLeast"/>
          <w:jc w:val="center"/>
        </w:trPr>
        <w:tc>
          <w:tcPr>
            <w:tcW w:w="2007" w:type="dxa"/>
            <w:gridSpan w:val="3"/>
            <w:tcBorders/>
            <w:vAlign w:val="center"/>
          </w:tcPr>
          <w:p>
            <w:pPr>
              <w:pStyle w:val="style0"/>
              <w:snapToGrid w:val="false"/>
              <w:spacing w:after="0" w:lineRule="atLeast" w:line="0"/>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6143" w:type="dxa"/>
            <w:gridSpan w:val="4"/>
            <w:tcBorders/>
            <w:vAlign w:val="center"/>
          </w:tcPr>
          <w:p>
            <w:pPr>
              <w:pStyle w:val="style0"/>
              <w:snapToGrid w:val="false"/>
              <w:spacing w:after="0" w:lineRule="atLeast" w:line="0"/>
              <w:ind w:left="180"/>
              <w:jc w:val="center"/>
              <w:rPr>
                <w:rFonts w:ascii="宋体" w:eastAsia="宋体" w:hAnsi="宋体"/>
                <w:b/>
                <w:sz w:val="21"/>
                <w:szCs w:val="21"/>
              </w:rPr>
            </w:pPr>
            <w:r>
              <w:rPr>
                <w:rFonts w:ascii="宋体" w:eastAsia="宋体" w:hAnsi="宋体" w:hint="eastAsia"/>
                <w:b/>
                <w:sz w:val="21"/>
                <w:szCs w:val="21"/>
              </w:rPr>
              <w:t>评价标准</w:t>
            </w:r>
          </w:p>
        </w:tc>
        <w:tc>
          <w:tcPr>
            <w:tcW w:w="1251" w:type="dxa"/>
            <w:gridSpan w:val="2"/>
            <w:tcBorders/>
            <w:vAlign w:val="center"/>
          </w:tcPr>
          <w:p>
            <w:pPr>
              <w:pStyle w:val="style0"/>
              <w:snapToGrid w:val="false"/>
              <w:spacing w:after="0" w:lineRule="atLeast" w:line="0"/>
              <w:ind w:left="180"/>
              <w:jc w:val="center"/>
              <w:rPr>
                <w:rFonts w:ascii="宋体" w:eastAsia="宋体" w:hAnsi="宋体"/>
                <w:b/>
                <w:sz w:val="21"/>
                <w:szCs w:val="21"/>
              </w:rPr>
            </w:pPr>
            <w:r>
              <w:rPr>
                <w:rFonts w:ascii="宋体" w:eastAsia="宋体" w:hAnsi="宋体" w:hint="eastAsia"/>
                <w:b/>
                <w:sz w:val="21"/>
                <w:szCs w:val="21"/>
              </w:rPr>
              <w:t>权重</w:t>
            </w:r>
          </w:p>
        </w:tc>
      </w:tr>
      <w:tr>
        <w:tblPrEx/>
        <w:trPr>
          <w:trHeight w:val="834" w:hRule="atLeast"/>
          <w:jc w:val="center"/>
        </w:trPr>
        <w:tc>
          <w:tcPr>
            <w:tcW w:w="2007" w:type="dxa"/>
            <w:gridSpan w:val="3"/>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rPr>
              <w:t>课堂出勤、课堂纪律</w:t>
            </w:r>
            <w:r>
              <w:rPr>
                <w:rFonts w:ascii="宋体" w:cs="宋体" w:eastAsia="宋体" w:hAnsi="宋体" w:hint="eastAsia"/>
                <w:sz w:val="21"/>
                <w:szCs w:val="21"/>
                <w:lang w:eastAsia="zh-CN"/>
              </w:rPr>
              <w:t>、课堂积极性</w:t>
            </w:r>
            <w:bookmarkStart w:id="0" w:name="_GoBack"/>
            <w:bookmarkEnd w:id="0"/>
          </w:p>
        </w:tc>
        <w:tc>
          <w:tcPr>
            <w:tcW w:w="6143" w:type="dxa"/>
            <w:gridSpan w:val="4"/>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rPr>
              <w:t>不无故旷课、迟到或早退；课堂纪律好</w:t>
            </w:r>
            <w:r>
              <w:rPr>
                <w:rFonts w:ascii="宋体" w:cs="宋体" w:eastAsia="宋体" w:hAnsi="宋体" w:hint="eastAsia"/>
                <w:sz w:val="21"/>
                <w:szCs w:val="21"/>
                <w:lang w:eastAsia="zh-CN"/>
              </w:rPr>
              <w:t>；</w:t>
            </w:r>
            <w:r>
              <w:rPr>
                <w:rFonts w:ascii="宋体" w:cs="宋体" w:eastAsia="宋体" w:hAnsi="宋体" w:hint="eastAsia"/>
                <w:sz w:val="21"/>
                <w:szCs w:val="21"/>
              </w:rPr>
              <w:t>积极参与互动，提问、回答富有逻辑性、合理性。</w:t>
            </w:r>
          </w:p>
        </w:tc>
        <w:tc>
          <w:tcPr>
            <w:tcW w:w="1251" w:type="dxa"/>
            <w:gridSpan w:val="2"/>
            <w:tcBorders/>
            <w:vAlign w:val="center"/>
          </w:tcPr>
          <w:p>
            <w:pPr>
              <w:pStyle w:val="style0"/>
              <w:snapToGrid w:val="false"/>
              <w:spacing w:after="0" w:lineRule="atLeast" w:line="0"/>
              <w:ind w:left="180"/>
              <w:rPr>
                <w:rFonts w:ascii="宋体" w:eastAsia="宋体" w:hAnsi="宋体" w:hint="eastAsia"/>
                <w:sz w:val="21"/>
                <w:szCs w:val="21"/>
                <w:lang w:val="en-US" w:eastAsia="zh-CN"/>
              </w:rPr>
            </w:pPr>
            <w:r>
              <w:rPr>
                <w:rFonts w:ascii="宋体" w:eastAsia="宋体" w:hAnsi="宋体" w:hint="eastAsia"/>
                <w:sz w:val="21"/>
                <w:szCs w:val="21"/>
                <w:lang w:val="en-US" w:eastAsia="zh-CN"/>
              </w:rPr>
              <w:t>10%</w:t>
            </w:r>
          </w:p>
        </w:tc>
      </w:tr>
      <w:tr>
        <w:tblPrEx/>
        <w:trPr>
          <w:trHeight w:val="340" w:hRule="atLeast"/>
          <w:jc w:val="center"/>
        </w:trPr>
        <w:tc>
          <w:tcPr>
            <w:tcW w:w="2007" w:type="dxa"/>
            <w:gridSpan w:val="3"/>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lang w:eastAsia="zh-CN"/>
              </w:rPr>
              <w:t>专项练习</w:t>
            </w:r>
          </w:p>
        </w:tc>
        <w:tc>
          <w:tcPr>
            <w:tcW w:w="6143" w:type="dxa"/>
            <w:gridSpan w:val="4"/>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rPr>
              <w:t>能灵活运用所学方法，独立、按时完成</w:t>
            </w:r>
            <w:r>
              <w:rPr>
                <w:rFonts w:ascii="宋体" w:cs="宋体" w:eastAsia="宋体" w:hAnsi="宋体" w:hint="eastAsia"/>
                <w:sz w:val="21"/>
                <w:szCs w:val="21"/>
                <w:lang w:eastAsia="zh-CN"/>
              </w:rPr>
              <w:t>练习</w:t>
            </w:r>
            <w:r>
              <w:rPr>
                <w:rFonts w:ascii="宋体" w:cs="宋体" w:eastAsia="宋体" w:hAnsi="宋体" w:hint="eastAsia"/>
                <w:sz w:val="21"/>
                <w:szCs w:val="21"/>
              </w:rPr>
              <w:t>。</w:t>
            </w:r>
          </w:p>
        </w:tc>
        <w:tc>
          <w:tcPr>
            <w:tcW w:w="1251" w:type="dxa"/>
            <w:gridSpan w:val="2"/>
            <w:tcBorders/>
            <w:vAlign w:val="center"/>
          </w:tcPr>
          <w:p>
            <w:pPr>
              <w:pStyle w:val="style0"/>
              <w:snapToGrid w:val="false"/>
              <w:spacing w:after="0" w:lineRule="atLeast" w:line="0"/>
              <w:ind w:left="180"/>
              <w:rPr>
                <w:rFonts w:ascii="宋体" w:eastAsia="宋体" w:hAnsi="宋体" w:hint="eastAsia"/>
                <w:sz w:val="21"/>
                <w:szCs w:val="21"/>
                <w:lang w:val="en-US" w:eastAsia="zh-CN"/>
              </w:rPr>
            </w:pPr>
            <w:r>
              <w:rPr>
                <w:rFonts w:ascii="宋体" w:eastAsia="宋体" w:hAnsi="宋体" w:hint="eastAsia"/>
                <w:sz w:val="21"/>
                <w:szCs w:val="21"/>
                <w:lang w:val="en-US" w:eastAsia="zh-CN"/>
              </w:rPr>
              <w:t>25%</w:t>
            </w:r>
          </w:p>
        </w:tc>
      </w:tr>
      <w:tr>
        <w:tblPrEx/>
        <w:trPr>
          <w:trHeight w:val="340" w:hRule="atLeast"/>
          <w:jc w:val="center"/>
        </w:trPr>
        <w:tc>
          <w:tcPr>
            <w:tcW w:w="2007" w:type="dxa"/>
            <w:gridSpan w:val="3"/>
            <w:tcBorders/>
            <w:vAlign w:val="center"/>
          </w:tcPr>
          <w:p>
            <w:pPr>
              <w:pStyle w:val="style0"/>
              <w:rPr>
                <w:rFonts w:ascii="宋体" w:cs="宋体" w:eastAsia="宋体" w:hAnsi="宋体" w:hint="eastAsia"/>
                <w:sz w:val="21"/>
                <w:szCs w:val="21"/>
                <w:lang w:eastAsia="zh-CN"/>
              </w:rPr>
            </w:pPr>
            <w:r>
              <w:rPr>
                <w:rFonts w:ascii="宋体" w:cs="宋体" w:eastAsia="宋体" w:hAnsi="宋体" w:hint="eastAsia"/>
                <w:sz w:val="21"/>
                <w:szCs w:val="21"/>
                <w:lang w:eastAsia="zh-CN"/>
              </w:rPr>
              <w:t>期中考试</w:t>
            </w:r>
          </w:p>
        </w:tc>
        <w:tc>
          <w:tcPr>
            <w:tcW w:w="6143" w:type="dxa"/>
            <w:gridSpan w:val="4"/>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rPr>
              <w:t>能灵活运用所学知识，独立、按时完成考试</w:t>
            </w:r>
          </w:p>
        </w:tc>
        <w:tc>
          <w:tcPr>
            <w:tcW w:w="1251" w:type="dxa"/>
            <w:gridSpan w:val="2"/>
            <w:tcBorders/>
            <w:vAlign w:val="center"/>
          </w:tcPr>
          <w:p>
            <w:pPr>
              <w:pStyle w:val="style0"/>
              <w:snapToGrid w:val="false"/>
              <w:spacing w:after="0" w:lineRule="atLeast" w:line="0"/>
              <w:ind w:left="180"/>
              <w:rPr>
                <w:rFonts w:ascii="宋体" w:eastAsia="宋体" w:hAnsi="宋体" w:hint="eastAsia"/>
                <w:sz w:val="21"/>
                <w:szCs w:val="21"/>
                <w:lang w:val="en-US" w:eastAsia="zh-CN"/>
              </w:rPr>
            </w:pPr>
            <w:r>
              <w:rPr>
                <w:rFonts w:ascii="宋体" w:eastAsia="宋体" w:hAnsi="宋体" w:hint="eastAsia"/>
                <w:sz w:val="21"/>
                <w:szCs w:val="21"/>
                <w:lang w:val="en-US" w:eastAsia="zh-CN"/>
              </w:rPr>
              <w:t>10%</w:t>
            </w:r>
          </w:p>
        </w:tc>
      </w:tr>
      <w:tr>
        <w:tblPrEx/>
        <w:trPr>
          <w:trHeight w:val="340" w:hRule="atLeast"/>
          <w:jc w:val="center"/>
        </w:trPr>
        <w:tc>
          <w:tcPr>
            <w:tcW w:w="2007" w:type="dxa"/>
            <w:gridSpan w:val="3"/>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lang w:eastAsia="zh-CN"/>
              </w:rPr>
              <w:t>期末考试</w:t>
            </w:r>
          </w:p>
        </w:tc>
        <w:tc>
          <w:tcPr>
            <w:tcW w:w="6143" w:type="dxa"/>
            <w:gridSpan w:val="4"/>
            <w:tcBorders/>
            <w:vAlign w:val="center"/>
          </w:tcPr>
          <w:p>
            <w:pPr>
              <w:pStyle w:val="style0"/>
              <w:rPr>
                <w:rFonts w:ascii="宋体" w:cs="宋体" w:eastAsia="宋体" w:hAnsi="宋体" w:hint="eastAsia"/>
                <w:sz w:val="21"/>
                <w:szCs w:val="21"/>
              </w:rPr>
            </w:pPr>
            <w:r>
              <w:rPr>
                <w:rFonts w:ascii="宋体" w:cs="宋体" w:eastAsia="宋体" w:hAnsi="宋体" w:hint="eastAsia"/>
                <w:sz w:val="21"/>
                <w:szCs w:val="21"/>
              </w:rPr>
              <w:t>能灵活运用所学知识，独立、按时完成考试</w:t>
            </w:r>
          </w:p>
        </w:tc>
        <w:tc>
          <w:tcPr>
            <w:tcW w:w="1251" w:type="dxa"/>
            <w:gridSpan w:val="2"/>
            <w:tcBorders/>
            <w:vAlign w:val="center"/>
          </w:tcPr>
          <w:p>
            <w:pPr>
              <w:pStyle w:val="style0"/>
              <w:snapToGrid w:val="false"/>
              <w:spacing w:after="0" w:lineRule="atLeast" w:line="0"/>
              <w:ind w:left="180" w:leftChars="0"/>
              <w:rPr>
                <w:rFonts w:ascii="宋体" w:eastAsia="宋体" w:hAnsi="宋体"/>
                <w:sz w:val="21"/>
                <w:szCs w:val="21"/>
              </w:rPr>
            </w:pPr>
            <w:r>
              <w:rPr>
                <w:rFonts w:ascii="宋体" w:eastAsia="宋体" w:hAnsi="宋体" w:hint="eastAsia"/>
                <w:sz w:val="21"/>
                <w:szCs w:val="21"/>
                <w:lang w:val="en-US" w:eastAsia="zh-CN"/>
              </w:rPr>
              <w:t>55%</w:t>
            </w:r>
          </w:p>
        </w:tc>
      </w:tr>
      <w:tr>
        <w:tblPrEx/>
        <w:trPr>
          <w:trHeight w:val="340" w:hRule="atLeast"/>
          <w:jc w:val="center"/>
        </w:trPr>
        <w:tc>
          <w:tcPr>
            <w:tcW w:w="9401" w:type="dxa"/>
            <w:gridSpan w:val="9"/>
            <w:tcBorders/>
            <w:vAlign w:val="center"/>
          </w:tcPr>
          <w:p>
            <w:pPr>
              <w:pStyle w:val="style0"/>
              <w:snapToGrid w:val="false"/>
              <w:spacing w:after="0" w:lineRule="atLeast" w:line="0"/>
              <w:ind w:left="180"/>
              <w:rPr>
                <w:rFonts w:ascii="宋体" w:eastAsia="宋体" w:hAnsi="宋体"/>
                <w:b/>
                <w:sz w:val="21"/>
                <w:szCs w:val="21"/>
              </w:rPr>
            </w:pPr>
            <w:r>
              <w:rPr>
                <w:rFonts w:ascii="宋体" w:eastAsia="宋体" w:hAnsi="宋体" w:hint="eastAsia"/>
                <w:b/>
                <w:sz w:val="21"/>
                <w:szCs w:val="21"/>
                <w:lang w:eastAsia="zh-CN"/>
              </w:rPr>
              <w:t>大纲编写时间：</w:t>
            </w:r>
            <w:r>
              <w:rPr>
                <w:rFonts w:ascii="宋体" w:eastAsia="宋体" w:hAnsi="宋体" w:hint="eastAsia"/>
                <w:b/>
                <w:sz w:val="21"/>
                <w:szCs w:val="21"/>
                <w:lang w:val="en-US" w:eastAsia="zh-CN"/>
              </w:rPr>
              <w:t>2018.03.05</w:t>
            </w:r>
          </w:p>
        </w:tc>
      </w:tr>
      <w:tr>
        <w:tblPrEx/>
        <w:trPr>
          <w:trHeight w:val="2351" w:hRule="atLeast"/>
          <w:jc w:val="center"/>
        </w:trPr>
        <w:tc>
          <w:tcPr>
            <w:tcW w:w="9401" w:type="dxa"/>
            <w:gridSpan w:val="9"/>
            <w:tcBorders/>
          </w:tcPr>
          <w:p>
            <w:pPr>
              <w:pStyle w:val="style0"/>
              <w:tabs>
                <w:tab w:val="left" w:leader="none" w:pos="1440"/>
              </w:tabs>
              <w:spacing w:after="0" w:lineRule="atLeast" w:line="0"/>
              <w:jc w:val="left"/>
              <w:outlineLvl w:val="0"/>
              <w:rPr>
                <w:rFonts w:ascii="宋体" w:eastAsia="宋体" w:hAnsi="宋体"/>
                <w:b/>
                <w:szCs w:val="21"/>
                <w:lang w:eastAsia="zh-CN"/>
              </w:rPr>
            </w:pPr>
            <w:r>
              <w:rPr>
                <w:rFonts w:ascii="宋体" w:eastAsia="宋体" w:hAnsi="宋体" w:hint="eastAsia"/>
                <w:b/>
                <w:szCs w:val="21"/>
                <w:lang w:eastAsia="zh-CN"/>
              </w:rPr>
              <w:t>系（部）审查意见：</w:t>
            </w:r>
          </w:p>
          <w:p>
            <w:pPr>
              <w:pStyle w:val="style0"/>
              <w:spacing w:after="0" w:lineRule="atLeast" w:line="0"/>
              <w:ind w:firstLine="57" w:firstLineChars="27"/>
              <w:jc w:val="left"/>
              <w:rPr>
                <w:rFonts w:ascii="宋体" w:eastAsia="宋体" w:hAnsi="宋体"/>
                <w:b/>
                <w:sz w:val="21"/>
                <w:szCs w:val="21"/>
                <w:lang w:eastAsia="zh-CN"/>
              </w:rPr>
            </w:pPr>
          </w:p>
          <w:p>
            <w:pPr>
              <w:pStyle w:val="style0"/>
              <w:spacing w:after="0" w:lineRule="atLeast" w:line="0"/>
              <w:ind w:firstLine="57" w:firstLineChars="27"/>
              <w:jc w:val="left"/>
              <w:rPr>
                <w:rFonts w:ascii="宋体" w:eastAsia="宋体" w:hAnsi="宋体"/>
                <w:b/>
                <w:sz w:val="21"/>
                <w:szCs w:val="21"/>
                <w:lang w:eastAsia="zh-CN"/>
              </w:rPr>
            </w:pPr>
          </w:p>
          <w:p>
            <w:pPr>
              <w:pStyle w:val="style0"/>
              <w:spacing w:after="0" w:lineRule="atLeast" w:line="0"/>
              <w:ind w:firstLine="945" w:firstLineChars="450"/>
              <w:rPr>
                <w:rFonts w:ascii="宋体" w:eastAsia="宋体" w:hAnsi="宋体"/>
                <w:sz w:val="21"/>
                <w:szCs w:val="21"/>
                <w:lang w:eastAsia="zh-CN"/>
              </w:rPr>
            </w:pPr>
            <w:r>
              <w:rPr>
                <w:rFonts w:ascii="宋体" w:eastAsia="宋体" w:hAnsi="宋体" w:hint="eastAsia"/>
                <w:sz w:val="21"/>
                <w:szCs w:val="21"/>
                <w:lang w:eastAsia="zh-CN"/>
              </w:rPr>
              <w:t>。</w:t>
            </w:r>
          </w:p>
          <w:p>
            <w:pPr>
              <w:pStyle w:val="style0"/>
              <w:spacing w:after="0" w:lineRule="atLeast" w:line="0"/>
              <w:rPr>
                <w:rFonts w:ascii="宋体" w:eastAsia="宋体" w:hAnsi="宋体"/>
                <w:sz w:val="21"/>
                <w:szCs w:val="21"/>
                <w:lang w:eastAsia="zh-CN"/>
              </w:rPr>
            </w:pPr>
          </w:p>
          <w:p>
            <w:pPr>
              <w:pStyle w:val="style0"/>
              <w:spacing w:after="0" w:lineRule="atLeast" w:line="0"/>
              <w:ind w:right="420"/>
              <w:rPr>
                <w:rFonts w:ascii="宋体" w:eastAsia="宋体" w:hAnsi="宋体"/>
                <w:sz w:val="21"/>
                <w:szCs w:val="21"/>
                <w:lang w:eastAsia="zh-CN"/>
              </w:rPr>
            </w:pPr>
          </w:p>
          <w:p>
            <w:pPr>
              <w:pStyle w:val="style0"/>
              <w:spacing w:after="0" w:lineRule="atLeast" w:line="0"/>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pPr>
              <w:pStyle w:val="style0"/>
              <w:snapToGrid w:val="false"/>
              <w:spacing w:after="0" w:lineRule="atLeast" w:line="0"/>
              <w:ind w:left="180"/>
              <w:rPr>
                <w:rFonts w:ascii="宋体" w:eastAsia="宋体" w:hAnsi="宋体"/>
                <w:sz w:val="21"/>
                <w:szCs w:val="21"/>
                <w:lang w:eastAsia="zh-CN"/>
              </w:rPr>
            </w:pPr>
          </w:p>
        </w:tc>
      </w:tr>
    </w:tbl>
    <w:p>
      <w:pPr>
        <w:pStyle w:val="style0"/>
        <w:spacing w:lineRule="exact" w:line="360"/>
        <w:ind w:left="738" w:hanging="738" w:hangingChars="350"/>
        <w:rPr>
          <w:rFonts w:ascii="宋体" w:eastAsia="宋体" w:hAnsi="宋体"/>
          <w:b/>
          <w:sz w:val="21"/>
          <w:szCs w:val="21"/>
          <w:lang w:eastAsia="zh-CN"/>
        </w:rPr>
      </w:pPr>
      <w:r>
        <w:rPr>
          <w:rFonts w:ascii="宋体" w:eastAsia="宋体" w:hAnsi="宋体"/>
          <w:b/>
          <w:bCs/>
          <w:sz w:val="21"/>
          <w:szCs w:val="21"/>
          <w:lang w:eastAsia="zh-CN"/>
        </w:rPr>
        <w:t>注：</w:t>
      </w:r>
      <w:r>
        <w:rPr>
          <w:rFonts w:ascii="宋体" w:eastAsia="宋体" w:hAnsi="宋体"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pStyle w:val="style0"/>
        <w:spacing w:lineRule="exact" w:line="360"/>
        <w:ind w:left="738" w:hanging="738" w:hangingChars="350"/>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pPr>
        <w:pStyle w:val="style0"/>
        <w:spacing w:lineRule="exact" w:line="360"/>
        <w:ind w:left="738" w:hanging="738" w:hangingChars="350"/>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pPr>
        <w:pStyle w:val="style0"/>
        <w:spacing w:lineRule="exact" w:line="360"/>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pgSz w:w="11906" w:h="16838" w:orient="portrait"/>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080E0000" w:usb2="00000000"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00007A87" w:usb1="80000000" w:usb2="00000008" w:usb3="00000000" w:csb0="400001FF" w:csb1="FFFF0000"/>
  </w:font>
  <w:font w:name="黑体">
    <w:altName w:val="黑体"/>
    <w:panose1 w:val="02010600030001010101"/>
    <w:charset w:val="86"/>
    <w:family w:val="auto"/>
    <w:pitch w:val="default"/>
    <w:sig w:usb0="00000001" w:usb1="080E0000" w:usb2="00000000" w:usb3="00000000" w:csb0="00040000" w:csb1="00000000"/>
  </w:font>
  <w:font w:name="Courier New">
    <w:altName w:val="Courier New"/>
    <w:panose1 w:val="02070309020002020404"/>
    <w:charset w:val="01"/>
    <w:family w:val="modern"/>
    <w:pitch w:val="default"/>
    <w:sig w:usb0="00007A87" w:usb1="80000000" w:usb2="00000008"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A00002EF" w:usb1="4000207B" w:usb2="00000000" w:usb3="00000000" w:csb0="2000009F" w:csb1="00000000"/>
  </w:font>
  <w:font w:name="PMingLiU">
    <w:altName w:val="PMingLiU"/>
    <w:panose1 w:val="02020300000000000000"/>
    <w:charset w:val="88"/>
    <w:family w:val="roman"/>
    <w:pitch w:val="default"/>
    <w:sig w:usb0="00000003" w:usb1="082E0000" w:usb2="00000016" w:usb3="00000000" w:csb0="00100001" w:csb1="00000000"/>
  </w:font>
  <w:font w:name="DFKai-SB">
    <w:altName w:val="Arial Unicode MS"/>
    <w:panose1 w:val="03000509000000000000"/>
    <w:charset w:val="88"/>
    <w:family w:val="script"/>
    <w:pitch w:val="default"/>
    <w:sig w:usb0="00000000" w:usb1="0000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Arial Unicode MS">
    <w:altName w:val="Arial Unicode MS"/>
    <w:panose1 w:val="020b06040200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20"/>
  <w:drawingGridVerticalSpacing w:val="163"/>
  <w:displayHorizontalDrawingGridEvery w:val="1"/>
  <w:displayVerticalDrawingGridEvery w:val="1"/>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spacing w:after="120"/>
      <w:jc w:val="both"/>
    </w:pPr>
    <w:rPr>
      <w:rFonts w:ascii="Times New Roman" w:cs="Times New Roman" w:eastAsia="PMingLiU" w:hAnsi="Times New Roman"/>
      <w:sz w:val="24"/>
      <w:szCs w:val="22"/>
      <w:lang w:val="en-US" w:bidi="ar-SA" w:eastAsia="en-US"/>
    </w:rPr>
  </w:style>
  <w:style w:type="character" w:default="1" w:styleId="style65">
    <w:name w:val="Default Paragraph Font"/>
    <w:next w:val="style65"/>
    <w:uiPriority w:val="1"/>
  </w:style>
  <w:style w:type="table" w:default="1" w:styleId="style105">
    <w:name w:val="Normal Table"/>
    <w:next w:val="style105"/>
    <w:qFormat/>
    <w:uiPriority w:val="99"/>
    <w:pPr/>
    <w:rPr/>
    <w:tblPr>
      <w:tblLayout w:type="fixed"/>
      <w:tblCellMar>
        <w:top w:w="0" w:type="dxa"/>
        <w:left w:w="108" w:type="dxa"/>
        <w:bottom w:w="0" w:type="dxa"/>
        <w:right w:w="108" w:type="dxa"/>
      </w:tblCellMar>
    </w:tblPr>
    <w:tcPr>
      <w:tcBorders/>
    </w:tcPr>
  </w:style>
  <w:style w:type="paragraph" w:styleId="style90">
    <w:name w:val="Plain Text"/>
    <w:next w:val="style90"/>
    <w:uiPriority w:val="0"/>
    <w:pPr/>
    <w:rPr>
      <w:rFonts w:ascii="宋体" w:cs="Times New Roman" w:eastAsia="宋体" w:hAnsi="Courier New"/>
      <w:kern w:val="2"/>
      <w:sz w:val="24"/>
      <w:szCs w:val="22"/>
      <w:lang w:val="en-US" w:bidi="ar-SA" w:eastAsia="zh-CN"/>
    </w:rPr>
  </w:style>
  <w:style w:type="paragraph" w:styleId="style153">
    <w:name w:val="Balloon Text"/>
    <w:basedOn w:val="style0"/>
    <w:next w:val="style153"/>
    <w:link w:val="style4101"/>
    <w:qFormat/>
    <w:uiPriority w:val="0"/>
    <w:pPr>
      <w:spacing w:after="0"/>
    </w:pPr>
    <w:rPr>
      <w:sz w:val="18"/>
      <w:szCs w:val="18"/>
    </w:rPr>
  </w:style>
  <w:style w:type="paragraph" w:styleId="style32">
    <w:name w:val="footer"/>
    <w:basedOn w:val="style0"/>
    <w:next w:val="style32"/>
    <w:link w:val="style4100"/>
    <w:qFormat/>
    <w:uiPriority w:val="0"/>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9"/>
    <w:qFormat/>
    <w:uiPriority w:val="0"/>
    <w:pPr>
      <w:pBdr>
        <w:bottom w:val="single" w:sz="6" w:space="1" w:color="auto"/>
      </w:pBdr>
      <w:tabs>
        <w:tab w:val="center" w:leader="none" w:pos="4153"/>
        <w:tab w:val="right" w:leader="none" w:pos="8306"/>
      </w:tabs>
      <w:snapToGrid w:val="false"/>
      <w:jc w:val="center"/>
    </w:pPr>
    <w:rPr>
      <w:sz w:val="18"/>
      <w:szCs w:val="18"/>
    </w:rPr>
  </w:style>
  <w:style w:type="table" w:styleId="style154">
    <w:name w:val="Table Grid"/>
    <w:basedOn w:val="style105"/>
    <w:next w:val="style154"/>
    <w:qFormat/>
    <w:uiPriority w:val="0"/>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cPr>
      <w:tcBorders/>
    </w:tcPr>
  </w:style>
  <w:style w:type="paragraph" w:customStyle="1" w:styleId="style4097">
    <w:name w:val="列出段落1"/>
    <w:basedOn w:val="style0"/>
    <w:next w:val="style4097"/>
    <w:qFormat/>
    <w:uiPriority w:val="34"/>
    <w:pPr>
      <w:widowControl w:val="false"/>
      <w:spacing w:after="0"/>
      <w:ind w:left="480" w:leftChars="200"/>
      <w:jc w:val="left"/>
    </w:pPr>
    <w:rPr>
      <w:rFonts w:ascii="Calibri" w:eastAsia="DFKai-SB" w:hAnsi="Calibri"/>
      <w:kern w:val="2"/>
      <w:lang w:eastAsia="zh-TW"/>
    </w:rPr>
  </w:style>
  <w:style w:type="character" w:customStyle="1" w:styleId="style4098">
    <w:name w:val="fontstyle01"/>
    <w:basedOn w:val="style65"/>
    <w:next w:val="style4098"/>
    <w:qFormat/>
    <w:uiPriority w:val="0"/>
    <w:rPr>
      <w:rFonts w:ascii="CIDFont + F2" w:cs="CIDFont + F2" w:eastAsia="CIDFont + F2" w:hAnsi="CIDFont + F2"/>
      <w:color w:val="000000"/>
      <w:sz w:val="20"/>
      <w:szCs w:val="20"/>
    </w:rPr>
  </w:style>
  <w:style w:type="character" w:customStyle="1" w:styleId="style4099">
    <w:name w:val="页眉 Char"/>
    <w:basedOn w:val="style65"/>
    <w:next w:val="style4099"/>
    <w:link w:val="style31"/>
    <w:qFormat/>
    <w:uiPriority w:val="0"/>
    <w:rPr>
      <w:rFonts w:eastAsia="PMingLiU"/>
      <w:sz w:val="18"/>
      <w:szCs w:val="18"/>
      <w:lang w:eastAsia="en-US"/>
    </w:rPr>
  </w:style>
  <w:style w:type="character" w:customStyle="1" w:styleId="style4100">
    <w:name w:val="页脚 Char"/>
    <w:basedOn w:val="style65"/>
    <w:next w:val="style4100"/>
    <w:link w:val="style32"/>
    <w:qFormat/>
    <w:uiPriority w:val="0"/>
    <w:rPr>
      <w:rFonts w:eastAsia="PMingLiU"/>
      <w:sz w:val="18"/>
      <w:szCs w:val="18"/>
      <w:lang w:eastAsia="en-US"/>
    </w:rPr>
  </w:style>
  <w:style w:type="paragraph" w:styleId="style179">
    <w:name w:val="List Paragraph"/>
    <w:basedOn w:val="style0"/>
    <w:next w:val="style179"/>
    <w:qFormat/>
    <w:uiPriority w:val="34"/>
    <w:pPr>
      <w:ind w:firstLine="420" w:firstLineChars="200"/>
    </w:pPr>
    <w:rPr/>
  </w:style>
  <w:style w:type="character" w:customStyle="1" w:styleId="style4101">
    <w:name w:val="批注框文本 Char"/>
    <w:basedOn w:val="style65"/>
    <w:next w:val="style4101"/>
    <w:link w:val="style153"/>
    <w:qFormat/>
    <w:uiPriority w:val="0"/>
    <w:rPr>
      <w:rFonts w:eastAsia="PMingLiU"/>
      <w:sz w:val="18"/>
      <w:szCs w:val="18"/>
      <w:lang w:eastAsia="en-US"/>
    </w:rPr>
  </w:style>
  <w:style w:type="character" w:customStyle="1" w:styleId="style4102">
    <w:name w:val="标题 2 Char"/>
    <w:next w:val="style4102"/>
    <w:qFormat/>
    <w:uiPriority w:val="0"/>
    <w:rPr>
      <w:rFonts w:ascii="Arial" w:eastAsia="黑体" w:hAnsi="Arial"/>
      <w:b/>
      <w:bCs/>
      <w:kern w:val="2"/>
      <w:sz w:val="32"/>
      <w:szCs w:val="32"/>
      <w:lang w:val="en-US" w:bidi="ar-SA" w:eastAsia="zh-CN"/>
    </w:rPr>
  </w:style>
  <w:style w:type="character" w:customStyle="1" w:styleId="style4103">
    <w:name w:val="标题 1 Char"/>
    <w:next w:val="style4103"/>
    <w:qFormat/>
    <w:uiPriority w:val="0"/>
    <w:rPr>
      <w:rFonts w:eastAsia="宋体"/>
      <w:b/>
      <w:bCs/>
      <w:kern w:val="44"/>
      <w:sz w:val="44"/>
      <w:szCs w:val="44"/>
      <w:lang w:val="en-US" w:bidi="ar-SA" w:eastAsia="zh-C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Words>2684</Words>
  <Pages>2</Pages>
  <Characters>2861</Characters>
  <Application>WPS Office</Application>
  <DocSecurity>0</DocSecurity>
  <Paragraphs>167</Paragraphs>
  <ScaleCrop>false</ScaleCrop>
  <Company>Microsoft</Company>
  <LinksUpToDate>false</LinksUpToDate>
  <CharactersWithSpaces>2939</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2017-09-01T07:23:00Z</dcterms:created>
  <dc:creator>lenovo</dc:creator>
  <lastModifiedBy>后面怎么回答这些负面因素？</lastModifiedBy>
  <lastPrinted>2017-01-05T16:24:00Z</lastPrinted>
  <dcterms:modified xsi:type="dcterms:W3CDTF">2018-04-16T02:34:49Z</dcterms:modified>
  <revision>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